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9" w:rsidRDefault="00965EC9">
      <w:pPr>
        <w:rPr>
          <w:sz w:val="20"/>
          <w:szCs w:val="20"/>
        </w:rPr>
      </w:pPr>
      <w:bookmarkStart w:id="0" w:name="_GoBack"/>
      <w:bookmarkEnd w:id="0"/>
    </w:p>
    <w:p w:rsidR="00297AC2" w:rsidRDefault="00AA0209">
      <w:pPr>
        <w:rPr>
          <w:sz w:val="20"/>
          <w:szCs w:val="20"/>
        </w:rPr>
      </w:pPr>
      <w:r>
        <w:rPr>
          <w:sz w:val="20"/>
          <w:szCs w:val="20"/>
        </w:rPr>
        <w:t>Planning milestones</w:t>
      </w:r>
    </w:p>
    <w:tbl>
      <w:tblPr>
        <w:tblStyle w:val="TableGrid"/>
        <w:tblW w:w="10660" w:type="dxa"/>
        <w:tblInd w:w="-147" w:type="dxa"/>
        <w:tblLayout w:type="fixed"/>
        <w:tblLook w:val="04A0" w:firstRow="1" w:lastRow="0" w:firstColumn="1" w:lastColumn="0" w:noHBand="0" w:noVBand="1"/>
      </w:tblPr>
      <w:tblGrid>
        <w:gridCol w:w="426"/>
        <w:gridCol w:w="2268"/>
        <w:gridCol w:w="425"/>
        <w:gridCol w:w="2268"/>
        <w:gridCol w:w="425"/>
        <w:gridCol w:w="2268"/>
        <w:gridCol w:w="426"/>
        <w:gridCol w:w="2154"/>
      </w:tblGrid>
      <w:tr w:rsidR="00610CE9" w:rsidTr="00610CE9">
        <w:tc>
          <w:tcPr>
            <w:tcW w:w="426" w:type="dxa"/>
          </w:tcPr>
          <w:p w:rsidR="00610CE9" w:rsidRPr="00610CE9" w:rsidRDefault="00610CE9" w:rsidP="00610CE9">
            <w:pPr>
              <w:pStyle w:val="NoSpacing"/>
              <w:rPr>
                <w:sz w:val="16"/>
              </w:rPr>
            </w:pPr>
            <w:r w:rsidRPr="00610CE9">
              <w:rPr>
                <w:sz w:val="16"/>
              </w:rPr>
              <w:t>1</w:t>
            </w:r>
          </w:p>
        </w:tc>
        <w:tc>
          <w:tcPr>
            <w:tcW w:w="2268" w:type="dxa"/>
          </w:tcPr>
          <w:p w:rsidR="00610CE9" w:rsidRPr="00610CE9" w:rsidRDefault="00610CE9" w:rsidP="00610CE9">
            <w:pPr>
              <w:pStyle w:val="NoSpacing"/>
              <w:rPr>
                <w:sz w:val="16"/>
              </w:rPr>
            </w:pPr>
            <w:r w:rsidRPr="00610CE9">
              <w:rPr>
                <w:bCs/>
                <w:sz w:val="16"/>
              </w:rPr>
              <w:t>Pre application advice given                    </w:t>
            </w:r>
          </w:p>
        </w:tc>
        <w:tc>
          <w:tcPr>
            <w:tcW w:w="425" w:type="dxa"/>
          </w:tcPr>
          <w:p w:rsidR="00610CE9" w:rsidRPr="00610CE9" w:rsidRDefault="00610CE9" w:rsidP="00610CE9">
            <w:pPr>
              <w:pStyle w:val="NoSpacing"/>
              <w:rPr>
                <w:sz w:val="16"/>
              </w:rPr>
            </w:pPr>
            <w:r w:rsidRPr="00610CE9">
              <w:rPr>
                <w:sz w:val="16"/>
              </w:rPr>
              <w:t>2</w:t>
            </w:r>
          </w:p>
        </w:tc>
        <w:tc>
          <w:tcPr>
            <w:tcW w:w="2268" w:type="dxa"/>
          </w:tcPr>
          <w:p w:rsidR="00610CE9" w:rsidRPr="00610CE9" w:rsidRDefault="00610CE9" w:rsidP="00610CE9">
            <w:pPr>
              <w:pStyle w:val="NoSpacing"/>
              <w:rPr>
                <w:sz w:val="16"/>
              </w:rPr>
            </w:pPr>
            <w:r w:rsidRPr="00610CE9">
              <w:rPr>
                <w:bCs/>
                <w:sz w:val="16"/>
              </w:rPr>
              <w:t>Outline planning application submitted</w:t>
            </w:r>
          </w:p>
        </w:tc>
        <w:tc>
          <w:tcPr>
            <w:tcW w:w="425" w:type="dxa"/>
          </w:tcPr>
          <w:p w:rsidR="00610CE9" w:rsidRPr="00610CE9" w:rsidRDefault="00610CE9" w:rsidP="00610CE9">
            <w:pPr>
              <w:pStyle w:val="NoSpacing"/>
              <w:rPr>
                <w:sz w:val="16"/>
              </w:rPr>
            </w:pPr>
            <w:r w:rsidRPr="00610CE9">
              <w:rPr>
                <w:sz w:val="16"/>
              </w:rPr>
              <w:t>3</w:t>
            </w:r>
          </w:p>
        </w:tc>
        <w:tc>
          <w:tcPr>
            <w:tcW w:w="2268" w:type="dxa"/>
          </w:tcPr>
          <w:p w:rsidR="00610CE9" w:rsidRPr="00610CE9" w:rsidRDefault="00610CE9" w:rsidP="00610CE9">
            <w:pPr>
              <w:pStyle w:val="NoSpacing"/>
              <w:rPr>
                <w:sz w:val="16"/>
              </w:rPr>
            </w:pPr>
            <w:r w:rsidRPr="00610CE9">
              <w:rPr>
                <w:bCs/>
                <w:sz w:val="16"/>
              </w:rPr>
              <w:t>Outline planning application approved          </w:t>
            </w:r>
          </w:p>
        </w:tc>
        <w:tc>
          <w:tcPr>
            <w:tcW w:w="426" w:type="dxa"/>
          </w:tcPr>
          <w:p w:rsidR="00610CE9" w:rsidRPr="00610CE9" w:rsidRDefault="00610CE9" w:rsidP="00610CE9">
            <w:pPr>
              <w:pStyle w:val="NoSpacing"/>
              <w:rPr>
                <w:sz w:val="16"/>
              </w:rPr>
            </w:pPr>
            <w:r w:rsidRPr="00610CE9">
              <w:rPr>
                <w:sz w:val="16"/>
              </w:rPr>
              <w:t>4</w:t>
            </w:r>
          </w:p>
        </w:tc>
        <w:tc>
          <w:tcPr>
            <w:tcW w:w="2154" w:type="dxa"/>
          </w:tcPr>
          <w:p w:rsidR="00610CE9" w:rsidRPr="00610CE9" w:rsidRDefault="00610CE9" w:rsidP="00610CE9">
            <w:pPr>
              <w:pStyle w:val="NoSpacing"/>
              <w:rPr>
                <w:bCs/>
                <w:sz w:val="16"/>
              </w:rPr>
            </w:pPr>
            <w:r w:rsidRPr="00610CE9">
              <w:rPr>
                <w:bCs/>
                <w:sz w:val="16"/>
              </w:rPr>
              <w:t xml:space="preserve">Site disposal commenced </w:t>
            </w:r>
          </w:p>
          <w:p w:rsidR="00610CE9" w:rsidRPr="00610CE9" w:rsidRDefault="00610CE9" w:rsidP="00610CE9">
            <w:pPr>
              <w:pStyle w:val="NoSpacing"/>
              <w:rPr>
                <w:sz w:val="16"/>
              </w:rPr>
            </w:pPr>
          </w:p>
        </w:tc>
      </w:tr>
      <w:tr w:rsidR="00610CE9" w:rsidTr="00610CE9">
        <w:tc>
          <w:tcPr>
            <w:tcW w:w="426" w:type="dxa"/>
          </w:tcPr>
          <w:p w:rsidR="00610CE9" w:rsidRPr="00610CE9" w:rsidRDefault="00610CE9" w:rsidP="00610CE9">
            <w:pPr>
              <w:pStyle w:val="NoSpacing"/>
              <w:rPr>
                <w:sz w:val="16"/>
              </w:rPr>
            </w:pPr>
            <w:r w:rsidRPr="00610CE9">
              <w:rPr>
                <w:sz w:val="16"/>
              </w:rPr>
              <w:t>5</w:t>
            </w:r>
          </w:p>
        </w:tc>
        <w:tc>
          <w:tcPr>
            <w:tcW w:w="2268" w:type="dxa"/>
          </w:tcPr>
          <w:p w:rsidR="00610CE9" w:rsidRPr="00610CE9" w:rsidRDefault="00610CE9" w:rsidP="00610CE9">
            <w:pPr>
              <w:pStyle w:val="NoSpacing"/>
              <w:rPr>
                <w:sz w:val="16"/>
              </w:rPr>
            </w:pPr>
            <w:r w:rsidRPr="00610CE9">
              <w:rPr>
                <w:bCs/>
                <w:sz w:val="16"/>
              </w:rPr>
              <w:t>Site</w:t>
            </w:r>
            <w:r>
              <w:rPr>
                <w:bCs/>
                <w:sz w:val="16"/>
              </w:rPr>
              <w:t xml:space="preserve"> Disposal                      </w:t>
            </w:r>
            <w:r w:rsidRPr="00610CE9">
              <w:rPr>
                <w:bCs/>
                <w:sz w:val="16"/>
              </w:rPr>
              <w:t>        </w:t>
            </w:r>
          </w:p>
        </w:tc>
        <w:tc>
          <w:tcPr>
            <w:tcW w:w="425" w:type="dxa"/>
          </w:tcPr>
          <w:p w:rsidR="00610CE9" w:rsidRPr="00610CE9" w:rsidRDefault="00610CE9" w:rsidP="00610CE9">
            <w:pPr>
              <w:pStyle w:val="NoSpacing"/>
              <w:rPr>
                <w:sz w:val="16"/>
              </w:rPr>
            </w:pPr>
            <w:r w:rsidRPr="00610CE9">
              <w:rPr>
                <w:sz w:val="16"/>
              </w:rPr>
              <w:t>6</w:t>
            </w:r>
          </w:p>
        </w:tc>
        <w:tc>
          <w:tcPr>
            <w:tcW w:w="2268" w:type="dxa"/>
          </w:tcPr>
          <w:p w:rsidR="00610CE9" w:rsidRPr="00610CE9" w:rsidRDefault="00610CE9" w:rsidP="00610CE9">
            <w:pPr>
              <w:pStyle w:val="NoSpacing"/>
              <w:rPr>
                <w:sz w:val="16"/>
              </w:rPr>
            </w:pPr>
            <w:r w:rsidRPr="00610CE9">
              <w:rPr>
                <w:bCs/>
                <w:sz w:val="16"/>
              </w:rPr>
              <w:t>Full planning application submitted                   </w:t>
            </w:r>
          </w:p>
        </w:tc>
        <w:tc>
          <w:tcPr>
            <w:tcW w:w="425" w:type="dxa"/>
          </w:tcPr>
          <w:p w:rsidR="00610CE9" w:rsidRPr="00610CE9" w:rsidRDefault="00610CE9" w:rsidP="00610CE9">
            <w:pPr>
              <w:pStyle w:val="NoSpacing"/>
              <w:rPr>
                <w:sz w:val="16"/>
              </w:rPr>
            </w:pPr>
            <w:r w:rsidRPr="00610CE9">
              <w:rPr>
                <w:sz w:val="16"/>
              </w:rPr>
              <w:t>7</w:t>
            </w:r>
          </w:p>
        </w:tc>
        <w:tc>
          <w:tcPr>
            <w:tcW w:w="2268" w:type="dxa"/>
          </w:tcPr>
          <w:p w:rsidR="00610CE9" w:rsidRPr="00610CE9" w:rsidRDefault="00610CE9" w:rsidP="00610CE9">
            <w:pPr>
              <w:pStyle w:val="NoSpacing"/>
              <w:rPr>
                <w:sz w:val="16"/>
              </w:rPr>
            </w:pPr>
            <w:r w:rsidRPr="00610CE9">
              <w:rPr>
                <w:bCs/>
                <w:sz w:val="16"/>
              </w:rPr>
              <w:t>Full planning application approved               </w:t>
            </w:r>
          </w:p>
        </w:tc>
        <w:tc>
          <w:tcPr>
            <w:tcW w:w="426" w:type="dxa"/>
          </w:tcPr>
          <w:p w:rsidR="00610CE9" w:rsidRPr="00610CE9" w:rsidRDefault="00610CE9" w:rsidP="00610CE9">
            <w:pPr>
              <w:pStyle w:val="NoSpacing"/>
              <w:rPr>
                <w:sz w:val="16"/>
              </w:rPr>
            </w:pPr>
            <w:r w:rsidRPr="00610CE9">
              <w:rPr>
                <w:sz w:val="16"/>
              </w:rPr>
              <w:t>8</w:t>
            </w:r>
          </w:p>
        </w:tc>
        <w:tc>
          <w:tcPr>
            <w:tcW w:w="2154" w:type="dxa"/>
          </w:tcPr>
          <w:p w:rsidR="00610CE9" w:rsidRPr="00610CE9" w:rsidRDefault="00610CE9" w:rsidP="00610CE9">
            <w:pPr>
              <w:pStyle w:val="NoSpacing"/>
              <w:rPr>
                <w:bCs/>
                <w:sz w:val="16"/>
              </w:rPr>
            </w:pPr>
            <w:r w:rsidRPr="00610CE9">
              <w:rPr>
                <w:bCs/>
                <w:sz w:val="16"/>
              </w:rPr>
              <w:t>Reserved matters application submitted</w:t>
            </w:r>
          </w:p>
        </w:tc>
      </w:tr>
      <w:tr w:rsidR="00610CE9" w:rsidTr="00610CE9">
        <w:trPr>
          <w:trHeight w:val="404"/>
        </w:trPr>
        <w:tc>
          <w:tcPr>
            <w:tcW w:w="426" w:type="dxa"/>
          </w:tcPr>
          <w:p w:rsidR="00610CE9" w:rsidRPr="00610CE9" w:rsidRDefault="00610CE9" w:rsidP="00610CE9">
            <w:pPr>
              <w:pStyle w:val="NoSpacing"/>
              <w:rPr>
                <w:sz w:val="16"/>
              </w:rPr>
            </w:pPr>
            <w:r w:rsidRPr="00610CE9">
              <w:rPr>
                <w:sz w:val="16"/>
              </w:rPr>
              <w:t>9</w:t>
            </w:r>
          </w:p>
        </w:tc>
        <w:tc>
          <w:tcPr>
            <w:tcW w:w="2268" w:type="dxa"/>
          </w:tcPr>
          <w:p w:rsidR="00610CE9" w:rsidRPr="00610CE9" w:rsidRDefault="00610CE9" w:rsidP="00610CE9">
            <w:pPr>
              <w:pStyle w:val="NoSpacing"/>
              <w:rPr>
                <w:sz w:val="16"/>
              </w:rPr>
            </w:pPr>
            <w:r w:rsidRPr="00610CE9">
              <w:rPr>
                <w:bCs/>
                <w:sz w:val="16"/>
              </w:rPr>
              <w:t>Reserved matters application approved</w:t>
            </w:r>
          </w:p>
        </w:tc>
        <w:tc>
          <w:tcPr>
            <w:tcW w:w="425" w:type="dxa"/>
          </w:tcPr>
          <w:p w:rsidR="00610CE9" w:rsidRPr="00610CE9" w:rsidRDefault="00610CE9" w:rsidP="00610CE9">
            <w:pPr>
              <w:pStyle w:val="NoSpacing"/>
              <w:rPr>
                <w:sz w:val="16"/>
              </w:rPr>
            </w:pPr>
            <w:r w:rsidRPr="00610CE9">
              <w:rPr>
                <w:sz w:val="16"/>
              </w:rPr>
              <w:t>10</w:t>
            </w:r>
          </w:p>
        </w:tc>
        <w:tc>
          <w:tcPr>
            <w:tcW w:w="2268" w:type="dxa"/>
          </w:tcPr>
          <w:p w:rsidR="00610CE9" w:rsidRPr="00610CE9" w:rsidRDefault="00610CE9" w:rsidP="00610CE9">
            <w:pPr>
              <w:pStyle w:val="NoSpacing"/>
              <w:rPr>
                <w:sz w:val="16"/>
              </w:rPr>
            </w:pPr>
            <w:r w:rsidRPr="00610CE9">
              <w:rPr>
                <w:bCs/>
                <w:sz w:val="16"/>
              </w:rPr>
              <w:t>Agent appointed                          </w:t>
            </w:r>
            <w:r>
              <w:rPr>
                <w:bCs/>
                <w:sz w:val="16"/>
              </w:rPr>
              <w:t>    </w:t>
            </w:r>
          </w:p>
        </w:tc>
        <w:tc>
          <w:tcPr>
            <w:tcW w:w="425" w:type="dxa"/>
          </w:tcPr>
          <w:p w:rsidR="00610CE9" w:rsidRPr="00610CE9" w:rsidRDefault="00610CE9" w:rsidP="00610CE9">
            <w:pPr>
              <w:pStyle w:val="NoSpacing"/>
              <w:rPr>
                <w:sz w:val="16"/>
              </w:rPr>
            </w:pPr>
            <w:r w:rsidRPr="00610CE9">
              <w:rPr>
                <w:sz w:val="16"/>
              </w:rPr>
              <w:t>11</w:t>
            </w:r>
          </w:p>
        </w:tc>
        <w:tc>
          <w:tcPr>
            <w:tcW w:w="2268" w:type="dxa"/>
          </w:tcPr>
          <w:p w:rsidR="00610CE9" w:rsidRPr="00610CE9" w:rsidRDefault="00610CE9" w:rsidP="00610CE9">
            <w:pPr>
              <w:pStyle w:val="NoSpacing"/>
              <w:rPr>
                <w:sz w:val="16"/>
              </w:rPr>
            </w:pPr>
            <w:r w:rsidRPr="00610CE9">
              <w:rPr>
                <w:bCs/>
                <w:sz w:val="16"/>
              </w:rPr>
              <w:t>Leasehold/Freehold contract signed </w:t>
            </w:r>
          </w:p>
        </w:tc>
        <w:tc>
          <w:tcPr>
            <w:tcW w:w="426" w:type="dxa"/>
          </w:tcPr>
          <w:p w:rsidR="00610CE9" w:rsidRPr="00610CE9" w:rsidRDefault="00610CE9" w:rsidP="00610CE9">
            <w:pPr>
              <w:pStyle w:val="NoSpacing"/>
              <w:rPr>
                <w:sz w:val="16"/>
              </w:rPr>
            </w:pPr>
            <w:r w:rsidRPr="00610CE9">
              <w:rPr>
                <w:sz w:val="16"/>
              </w:rPr>
              <w:t>12</w:t>
            </w:r>
          </w:p>
        </w:tc>
        <w:tc>
          <w:tcPr>
            <w:tcW w:w="2154" w:type="dxa"/>
          </w:tcPr>
          <w:p w:rsidR="00610CE9" w:rsidRPr="00610CE9" w:rsidRDefault="00610CE9" w:rsidP="00610CE9">
            <w:pPr>
              <w:pStyle w:val="NoSpacing"/>
              <w:rPr>
                <w:bCs/>
                <w:sz w:val="16"/>
              </w:rPr>
            </w:pPr>
            <w:r w:rsidRPr="00610CE9">
              <w:rPr>
                <w:bCs/>
                <w:sz w:val="16"/>
              </w:rPr>
              <w:t xml:space="preserve">Discharge of pre commencement conditions </w:t>
            </w:r>
          </w:p>
        </w:tc>
      </w:tr>
      <w:tr w:rsidR="00610CE9" w:rsidTr="00610CE9">
        <w:trPr>
          <w:trHeight w:val="370"/>
        </w:trPr>
        <w:tc>
          <w:tcPr>
            <w:tcW w:w="426" w:type="dxa"/>
          </w:tcPr>
          <w:p w:rsidR="00610CE9" w:rsidRPr="00610CE9" w:rsidRDefault="00610CE9" w:rsidP="00610CE9">
            <w:pPr>
              <w:pStyle w:val="NoSpacing"/>
              <w:rPr>
                <w:sz w:val="16"/>
              </w:rPr>
            </w:pPr>
            <w:r w:rsidRPr="00610CE9">
              <w:rPr>
                <w:sz w:val="16"/>
              </w:rPr>
              <w:t>13</w:t>
            </w:r>
          </w:p>
        </w:tc>
        <w:tc>
          <w:tcPr>
            <w:tcW w:w="2268" w:type="dxa"/>
          </w:tcPr>
          <w:p w:rsidR="00610CE9" w:rsidRPr="00610CE9" w:rsidRDefault="00610CE9" w:rsidP="00610CE9">
            <w:pPr>
              <w:pStyle w:val="NoSpacing"/>
              <w:rPr>
                <w:sz w:val="16"/>
              </w:rPr>
            </w:pPr>
            <w:r w:rsidRPr="00610CE9">
              <w:rPr>
                <w:bCs/>
                <w:sz w:val="16"/>
              </w:rPr>
              <w:t>Works commence on site  </w:t>
            </w:r>
          </w:p>
        </w:tc>
        <w:tc>
          <w:tcPr>
            <w:tcW w:w="425" w:type="dxa"/>
          </w:tcPr>
          <w:p w:rsidR="00610CE9" w:rsidRPr="00610CE9" w:rsidRDefault="00610CE9" w:rsidP="00610CE9">
            <w:pPr>
              <w:pStyle w:val="NoSpacing"/>
              <w:rPr>
                <w:sz w:val="16"/>
              </w:rPr>
            </w:pPr>
            <w:r w:rsidRPr="00610CE9">
              <w:rPr>
                <w:sz w:val="16"/>
              </w:rPr>
              <w:t>14</w:t>
            </w:r>
          </w:p>
        </w:tc>
        <w:tc>
          <w:tcPr>
            <w:tcW w:w="2268" w:type="dxa"/>
          </w:tcPr>
          <w:p w:rsidR="00610CE9" w:rsidRPr="00610CE9" w:rsidRDefault="00610CE9" w:rsidP="00610CE9">
            <w:pPr>
              <w:pStyle w:val="NoSpacing"/>
              <w:rPr>
                <w:sz w:val="16"/>
              </w:rPr>
            </w:pPr>
            <w:r w:rsidRPr="00610CE9">
              <w:rPr>
                <w:bCs/>
                <w:sz w:val="16"/>
              </w:rPr>
              <w:t>First phase/unit built          </w:t>
            </w:r>
          </w:p>
        </w:tc>
        <w:tc>
          <w:tcPr>
            <w:tcW w:w="425" w:type="dxa"/>
          </w:tcPr>
          <w:p w:rsidR="00610CE9" w:rsidRPr="00610CE9" w:rsidRDefault="00610CE9" w:rsidP="00610CE9">
            <w:pPr>
              <w:pStyle w:val="NoSpacing"/>
              <w:rPr>
                <w:sz w:val="16"/>
              </w:rPr>
            </w:pPr>
            <w:r w:rsidRPr="00610CE9">
              <w:rPr>
                <w:sz w:val="16"/>
              </w:rPr>
              <w:t>15</w:t>
            </w:r>
          </w:p>
        </w:tc>
        <w:tc>
          <w:tcPr>
            <w:tcW w:w="2268" w:type="dxa"/>
          </w:tcPr>
          <w:p w:rsidR="00610CE9" w:rsidRPr="00610CE9" w:rsidRDefault="00610CE9" w:rsidP="00610CE9">
            <w:pPr>
              <w:pStyle w:val="NoSpacing"/>
              <w:rPr>
                <w:sz w:val="16"/>
              </w:rPr>
            </w:pPr>
            <w:r w:rsidRPr="00610CE9">
              <w:rPr>
                <w:bCs/>
                <w:sz w:val="16"/>
              </w:rPr>
              <w:t>First occupier         </w:t>
            </w:r>
            <w:r>
              <w:rPr>
                <w:bCs/>
                <w:sz w:val="16"/>
              </w:rPr>
              <w:t>                      </w:t>
            </w:r>
          </w:p>
        </w:tc>
        <w:tc>
          <w:tcPr>
            <w:tcW w:w="426" w:type="dxa"/>
          </w:tcPr>
          <w:p w:rsidR="00610CE9" w:rsidRPr="00610CE9" w:rsidRDefault="00610CE9" w:rsidP="00610CE9">
            <w:pPr>
              <w:pStyle w:val="NoSpacing"/>
              <w:rPr>
                <w:sz w:val="16"/>
              </w:rPr>
            </w:pPr>
            <w:r w:rsidRPr="00610CE9">
              <w:rPr>
                <w:sz w:val="16"/>
              </w:rPr>
              <w:t>16</w:t>
            </w:r>
          </w:p>
        </w:tc>
        <w:tc>
          <w:tcPr>
            <w:tcW w:w="2154" w:type="dxa"/>
          </w:tcPr>
          <w:p w:rsidR="00610CE9" w:rsidRPr="00610CE9" w:rsidRDefault="00610CE9" w:rsidP="00610CE9">
            <w:pPr>
              <w:pStyle w:val="NoSpacing"/>
              <w:rPr>
                <w:sz w:val="16"/>
              </w:rPr>
            </w:pPr>
            <w:r w:rsidRPr="00610CE9">
              <w:rPr>
                <w:bCs/>
                <w:sz w:val="16"/>
              </w:rPr>
              <w:t>Site completion</w:t>
            </w:r>
          </w:p>
        </w:tc>
      </w:tr>
    </w:tbl>
    <w:p w:rsidR="00E54B13" w:rsidRDefault="00E54B13">
      <w:pPr>
        <w:rPr>
          <w:sz w:val="20"/>
          <w:szCs w:val="20"/>
        </w:rPr>
      </w:pPr>
    </w:p>
    <w:p w:rsidR="00E54B13" w:rsidRDefault="00DB1A2A">
      <w:pPr>
        <w:rPr>
          <w:sz w:val="18"/>
          <w:szCs w:val="20"/>
        </w:rPr>
      </w:pPr>
      <w:r>
        <w:rPr>
          <w:sz w:val="18"/>
          <w:szCs w:val="20"/>
        </w:rPr>
        <w:t>Key to Rag rating</w:t>
      </w:r>
    </w:p>
    <w:p w:rsidR="00DB1A2A" w:rsidRPr="000B71EF" w:rsidRDefault="00DB1A2A">
      <w:pPr>
        <w:rPr>
          <w:sz w:val="18"/>
          <w:szCs w:val="20"/>
        </w:rPr>
      </w:pPr>
    </w:p>
    <w:tbl>
      <w:tblPr>
        <w:tblStyle w:val="TableGrid"/>
        <w:tblW w:w="0" w:type="auto"/>
        <w:tblLook w:val="04A0" w:firstRow="1" w:lastRow="0" w:firstColumn="1" w:lastColumn="0" w:noHBand="0" w:noVBand="1"/>
      </w:tblPr>
      <w:tblGrid>
        <w:gridCol w:w="492"/>
        <w:gridCol w:w="2767"/>
        <w:gridCol w:w="545"/>
        <w:gridCol w:w="4208"/>
        <w:gridCol w:w="495"/>
        <w:gridCol w:w="1950"/>
      </w:tblGrid>
      <w:tr w:rsidR="00E54B13" w:rsidRPr="000B71EF" w:rsidTr="00BD0D2C">
        <w:tc>
          <w:tcPr>
            <w:tcW w:w="988" w:type="dxa"/>
            <w:shd w:val="clear" w:color="auto" w:fill="C5E0B3" w:themeFill="accent6" w:themeFillTint="66"/>
          </w:tcPr>
          <w:p w:rsidR="00E54B13" w:rsidRPr="000B71EF" w:rsidRDefault="00E54B13">
            <w:pPr>
              <w:rPr>
                <w:sz w:val="18"/>
                <w:szCs w:val="20"/>
              </w:rPr>
            </w:pPr>
          </w:p>
        </w:tc>
        <w:tc>
          <w:tcPr>
            <w:tcW w:w="5670" w:type="dxa"/>
          </w:tcPr>
          <w:p w:rsidR="00E54B13" w:rsidRPr="000B71EF" w:rsidRDefault="00E54B13">
            <w:pPr>
              <w:rPr>
                <w:sz w:val="18"/>
                <w:szCs w:val="20"/>
              </w:rPr>
            </w:pPr>
            <w:r w:rsidRPr="000B71EF">
              <w:rPr>
                <w:sz w:val="18"/>
                <w:szCs w:val="20"/>
              </w:rPr>
              <w:t>Progressing as expected</w:t>
            </w:r>
          </w:p>
        </w:tc>
        <w:tc>
          <w:tcPr>
            <w:tcW w:w="1134" w:type="dxa"/>
            <w:shd w:val="clear" w:color="auto" w:fill="FFE599" w:themeFill="accent4" w:themeFillTint="66"/>
          </w:tcPr>
          <w:p w:rsidR="00BD0D2C" w:rsidRDefault="00BD0D2C">
            <w:pPr>
              <w:rPr>
                <w:sz w:val="18"/>
                <w:szCs w:val="20"/>
              </w:rPr>
            </w:pPr>
          </w:p>
          <w:p w:rsidR="00E54B13" w:rsidRPr="00BD0D2C" w:rsidRDefault="00E54B13" w:rsidP="00BD0D2C">
            <w:pPr>
              <w:rPr>
                <w:sz w:val="18"/>
                <w:szCs w:val="20"/>
              </w:rPr>
            </w:pPr>
          </w:p>
        </w:tc>
        <w:tc>
          <w:tcPr>
            <w:tcW w:w="9780" w:type="dxa"/>
          </w:tcPr>
          <w:p w:rsidR="00E54B13" w:rsidRPr="000B71EF" w:rsidRDefault="00E54B13">
            <w:pPr>
              <w:rPr>
                <w:sz w:val="18"/>
                <w:szCs w:val="20"/>
              </w:rPr>
            </w:pPr>
            <w:r w:rsidRPr="000B71EF">
              <w:rPr>
                <w:sz w:val="18"/>
                <w:szCs w:val="20"/>
              </w:rPr>
              <w:t>Not progressing as expected or slower than expected</w:t>
            </w:r>
          </w:p>
        </w:tc>
        <w:tc>
          <w:tcPr>
            <w:tcW w:w="993" w:type="dxa"/>
            <w:shd w:val="clear" w:color="auto" w:fill="C00000"/>
          </w:tcPr>
          <w:p w:rsidR="00E54B13" w:rsidRPr="000B71EF" w:rsidRDefault="00E54B13">
            <w:pPr>
              <w:rPr>
                <w:sz w:val="18"/>
                <w:szCs w:val="20"/>
              </w:rPr>
            </w:pPr>
          </w:p>
        </w:tc>
        <w:tc>
          <w:tcPr>
            <w:tcW w:w="3799" w:type="dxa"/>
          </w:tcPr>
          <w:p w:rsidR="00E54B13" w:rsidRPr="000B71EF" w:rsidRDefault="00E54B13">
            <w:pPr>
              <w:rPr>
                <w:sz w:val="18"/>
                <w:szCs w:val="20"/>
              </w:rPr>
            </w:pPr>
            <w:r w:rsidRPr="000B71EF">
              <w:rPr>
                <w:sz w:val="18"/>
                <w:szCs w:val="20"/>
              </w:rPr>
              <w:t>Not pressing – issue identified</w:t>
            </w:r>
          </w:p>
        </w:tc>
      </w:tr>
    </w:tbl>
    <w:p w:rsidR="00965EC9" w:rsidRPr="000B71EF" w:rsidRDefault="00965EC9">
      <w:pPr>
        <w:rPr>
          <w:sz w:val="18"/>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433"/>
        <w:gridCol w:w="516"/>
        <w:gridCol w:w="1522"/>
        <w:gridCol w:w="696"/>
        <w:gridCol w:w="695"/>
        <w:gridCol w:w="6173"/>
        <w:gridCol w:w="372"/>
      </w:tblGrid>
      <w:tr w:rsidR="00BD0D2C" w:rsidRPr="000B71EF" w:rsidTr="00BD0D2C">
        <w:trPr>
          <w:cantSplit/>
          <w:trHeight w:val="923"/>
          <w:tblHeader/>
        </w:trPr>
        <w:tc>
          <w:tcPr>
            <w:tcW w:w="433" w:type="dxa"/>
            <w:shd w:val="clear" w:color="auto" w:fill="F2F2F2" w:themeFill="background1" w:themeFillShade="F2"/>
            <w:textDirection w:val="btLr"/>
          </w:tcPr>
          <w:p w:rsidR="00BD0D2C" w:rsidRPr="000B71EF" w:rsidRDefault="00BD0D2C" w:rsidP="00BD0D2C">
            <w:pPr>
              <w:ind w:left="113" w:right="113"/>
              <w:rPr>
                <w:b/>
                <w:sz w:val="18"/>
                <w:szCs w:val="20"/>
              </w:rPr>
            </w:pPr>
            <w:r w:rsidRPr="000B71EF">
              <w:rPr>
                <w:b/>
                <w:sz w:val="18"/>
                <w:szCs w:val="20"/>
              </w:rPr>
              <w:t>Zone</w:t>
            </w:r>
          </w:p>
        </w:tc>
        <w:tc>
          <w:tcPr>
            <w:tcW w:w="516" w:type="dxa"/>
            <w:shd w:val="clear" w:color="auto" w:fill="F2F2F2" w:themeFill="background1" w:themeFillShade="F2"/>
            <w:textDirection w:val="btLr"/>
          </w:tcPr>
          <w:p w:rsidR="00BD0D2C" w:rsidRPr="000B71EF" w:rsidRDefault="00BD0D2C" w:rsidP="00BD0D2C">
            <w:pPr>
              <w:ind w:left="113" w:right="113"/>
              <w:rPr>
                <w:b/>
                <w:sz w:val="18"/>
                <w:szCs w:val="20"/>
              </w:rPr>
            </w:pPr>
            <w:r w:rsidRPr="000B71EF">
              <w:rPr>
                <w:b/>
                <w:sz w:val="18"/>
                <w:szCs w:val="20"/>
              </w:rPr>
              <w:t>REF</w:t>
            </w:r>
          </w:p>
        </w:tc>
        <w:tc>
          <w:tcPr>
            <w:tcW w:w="1522" w:type="dxa"/>
            <w:shd w:val="clear" w:color="auto" w:fill="F2F2F2" w:themeFill="background1" w:themeFillShade="F2"/>
            <w:textDirection w:val="btLr"/>
          </w:tcPr>
          <w:p w:rsidR="00BD0D2C" w:rsidRPr="000B71EF" w:rsidRDefault="00BD0D2C" w:rsidP="00BD0D2C">
            <w:pPr>
              <w:ind w:left="113" w:right="113"/>
              <w:rPr>
                <w:b/>
                <w:sz w:val="18"/>
                <w:szCs w:val="20"/>
              </w:rPr>
            </w:pPr>
            <w:r w:rsidRPr="000B71EF">
              <w:rPr>
                <w:b/>
                <w:sz w:val="18"/>
                <w:szCs w:val="20"/>
              </w:rPr>
              <w:t>Scheme Name</w:t>
            </w:r>
          </w:p>
        </w:tc>
        <w:tc>
          <w:tcPr>
            <w:tcW w:w="696" w:type="dxa"/>
            <w:shd w:val="clear" w:color="auto" w:fill="F2F2F2" w:themeFill="background1" w:themeFillShade="F2"/>
            <w:textDirection w:val="btLr"/>
          </w:tcPr>
          <w:p w:rsidR="00BD0D2C" w:rsidRPr="000B71EF" w:rsidRDefault="00BD0D2C" w:rsidP="00BD0D2C">
            <w:pPr>
              <w:ind w:left="113" w:right="113"/>
              <w:rPr>
                <w:b/>
                <w:sz w:val="16"/>
                <w:szCs w:val="20"/>
              </w:rPr>
            </w:pPr>
            <w:r w:rsidRPr="000B71EF">
              <w:rPr>
                <w:b/>
                <w:sz w:val="16"/>
                <w:szCs w:val="20"/>
              </w:rPr>
              <w:t>Period 1</w:t>
            </w:r>
          </w:p>
          <w:p w:rsidR="00BD0D2C" w:rsidRPr="000B71EF" w:rsidRDefault="00BD0D2C" w:rsidP="00BD0D2C">
            <w:pPr>
              <w:ind w:left="113" w:right="113"/>
              <w:rPr>
                <w:b/>
                <w:sz w:val="16"/>
                <w:szCs w:val="20"/>
              </w:rPr>
            </w:pPr>
            <w:r w:rsidRPr="000B71EF">
              <w:rPr>
                <w:b/>
                <w:sz w:val="16"/>
                <w:szCs w:val="20"/>
              </w:rPr>
              <w:t xml:space="preserve">April-Sept 2016 </w:t>
            </w:r>
          </w:p>
        </w:tc>
        <w:tc>
          <w:tcPr>
            <w:tcW w:w="695" w:type="dxa"/>
            <w:shd w:val="clear" w:color="auto" w:fill="F2F2F2" w:themeFill="background1" w:themeFillShade="F2"/>
            <w:textDirection w:val="btLr"/>
          </w:tcPr>
          <w:p w:rsidR="00BD0D2C" w:rsidRPr="000B71EF" w:rsidRDefault="00BD0D2C" w:rsidP="00BD0D2C">
            <w:pPr>
              <w:ind w:left="113" w:right="113"/>
              <w:rPr>
                <w:b/>
                <w:sz w:val="16"/>
                <w:szCs w:val="20"/>
              </w:rPr>
            </w:pPr>
            <w:r w:rsidRPr="000B71EF">
              <w:rPr>
                <w:b/>
                <w:sz w:val="16"/>
                <w:szCs w:val="20"/>
              </w:rPr>
              <w:t xml:space="preserve">Period 2 </w:t>
            </w:r>
          </w:p>
          <w:p w:rsidR="00BD0D2C" w:rsidRPr="000B71EF" w:rsidRDefault="00BD0D2C" w:rsidP="00BD0D2C">
            <w:pPr>
              <w:ind w:left="113" w:right="113"/>
              <w:rPr>
                <w:b/>
                <w:sz w:val="16"/>
                <w:szCs w:val="20"/>
              </w:rPr>
            </w:pPr>
            <w:r w:rsidRPr="000B71EF">
              <w:rPr>
                <w:b/>
                <w:sz w:val="16"/>
                <w:szCs w:val="20"/>
              </w:rPr>
              <w:t>Oct- March 2016</w:t>
            </w:r>
          </w:p>
        </w:tc>
        <w:tc>
          <w:tcPr>
            <w:tcW w:w="6173" w:type="dxa"/>
            <w:shd w:val="clear" w:color="auto" w:fill="auto"/>
          </w:tcPr>
          <w:p w:rsidR="00BD0D2C" w:rsidRPr="000B71EF" w:rsidRDefault="00BD0D2C" w:rsidP="00BD0D2C">
            <w:pPr>
              <w:rPr>
                <w:b/>
                <w:sz w:val="18"/>
                <w:szCs w:val="20"/>
              </w:rPr>
            </w:pPr>
            <w:r w:rsidRPr="000B71EF">
              <w:rPr>
                <w:b/>
                <w:sz w:val="18"/>
                <w:szCs w:val="20"/>
              </w:rPr>
              <w:t xml:space="preserve">Site progress </w:t>
            </w:r>
          </w:p>
        </w:tc>
        <w:tc>
          <w:tcPr>
            <w:tcW w:w="372" w:type="dxa"/>
            <w:shd w:val="clear" w:color="auto" w:fill="F2F2F2" w:themeFill="background1" w:themeFillShade="F2"/>
          </w:tcPr>
          <w:p w:rsidR="00BD0D2C" w:rsidRPr="000B71EF" w:rsidRDefault="00BD0D2C" w:rsidP="00BD0D2C">
            <w:pPr>
              <w:rPr>
                <w:b/>
                <w:sz w:val="18"/>
                <w:szCs w:val="20"/>
              </w:rPr>
            </w:pPr>
            <w:r w:rsidRPr="000B71EF">
              <w:rPr>
                <w:b/>
                <w:sz w:val="18"/>
                <w:szCs w:val="20"/>
              </w:rPr>
              <w:t>R</w:t>
            </w:r>
          </w:p>
          <w:p w:rsidR="00BD0D2C" w:rsidRPr="000B71EF" w:rsidRDefault="00BD0D2C" w:rsidP="00BD0D2C">
            <w:pPr>
              <w:rPr>
                <w:b/>
                <w:sz w:val="18"/>
                <w:szCs w:val="20"/>
              </w:rPr>
            </w:pPr>
            <w:r w:rsidRPr="000B71EF">
              <w:rPr>
                <w:b/>
                <w:sz w:val="18"/>
                <w:szCs w:val="20"/>
              </w:rPr>
              <w:t>A</w:t>
            </w:r>
          </w:p>
          <w:p w:rsidR="00BD0D2C" w:rsidRPr="000B71EF" w:rsidRDefault="00BD0D2C" w:rsidP="00BD0D2C">
            <w:pPr>
              <w:rPr>
                <w:b/>
                <w:sz w:val="18"/>
                <w:szCs w:val="20"/>
              </w:rPr>
            </w:pPr>
            <w:r w:rsidRPr="000B71EF">
              <w:rPr>
                <w:b/>
                <w:sz w:val="18"/>
                <w:szCs w:val="20"/>
              </w:rPr>
              <w:t>G</w:t>
            </w:r>
          </w:p>
        </w:tc>
      </w:tr>
      <w:tr w:rsidR="00BD0D2C" w:rsidRPr="000B71EF" w:rsidTr="00BD0D2C">
        <w:trPr>
          <w:trHeight w:val="1877"/>
        </w:trPr>
        <w:tc>
          <w:tcPr>
            <w:tcW w:w="433" w:type="dxa"/>
          </w:tcPr>
          <w:p w:rsidR="00BD0D2C" w:rsidRPr="000B71EF" w:rsidRDefault="00BD0D2C" w:rsidP="00BD0D2C">
            <w:pPr>
              <w:rPr>
                <w:sz w:val="18"/>
                <w:szCs w:val="20"/>
              </w:rPr>
            </w:pPr>
            <w:r w:rsidRPr="000B71EF">
              <w:rPr>
                <w:sz w:val="18"/>
                <w:szCs w:val="20"/>
              </w:rPr>
              <w:t>1</w:t>
            </w:r>
          </w:p>
        </w:tc>
        <w:tc>
          <w:tcPr>
            <w:tcW w:w="516" w:type="dxa"/>
          </w:tcPr>
          <w:p w:rsidR="00BD0D2C" w:rsidRPr="000B71EF" w:rsidRDefault="00BD0D2C" w:rsidP="00BD0D2C">
            <w:pPr>
              <w:rPr>
                <w:sz w:val="18"/>
                <w:szCs w:val="20"/>
              </w:rPr>
            </w:pPr>
            <w:r w:rsidRPr="000B71EF">
              <w:rPr>
                <w:sz w:val="18"/>
                <w:szCs w:val="20"/>
              </w:rPr>
              <w:t>E1</w:t>
            </w:r>
          </w:p>
        </w:tc>
        <w:tc>
          <w:tcPr>
            <w:tcW w:w="1522" w:type="dxa"/>
          </w:tcPr>
          <w:p w:rsidR="00BD0D2C" w:rsidRPr="000B71EF" w:rsidRDefault="00BD0D2C" w:rsidP="00BD0D2C">
            <w:pPr>
              <w:rPr>
                <w:sz w:val="18"/>
                <w:szCs w:val="20"/>
              </w:rPr>
            </w:pPr>
            <w:r w:rsidRPr="000B71EF">
              <w:rPr>
                <w:sz w:val="18"/>
                <w:szCs w:val="20"/>
              </w:rPr>
              <w:t xml:space="preserve">Eastway </w:t>
            </w:r>
          </w:p>
        </w:tc>
        <w:tc>
          <w:tcPr>
            <w:tcW w:w="696" w:type="dxa"/>
            <w:shd w:val="clear" w:color="auto" w:fill="FFE599" w:themeFill="accent4" w:themeFillTint="66"/>
          </w:tcPr>
          <w:p w:rsidR="00BD0D2C" w:rsidRPr="000B71EF" w:rsidRDefault="00BD0D2C" w:rsidP="00BD0D2C">
            <w:pPr>
              <w:rPr>
                <w:sz w:val="18"/>
                <w:szCs w:val="20"/>
              </w:rPr>
            </w:pPr>
            <w:r w:rsidRPr="000B71EF">
              <w:rPr>
                <w:sz w:val="18"/>
                <w:szCs w:val="20"/>
              </w:rPr>
              <w:t>11</w:t>
            </w:r>
          </w:p>
        </w:tc>
        <w:tc>
          <w:tcPr>
            <w:tcW w:w="695" w:type="dxa"/>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Fonts w:cs="Arial"/>
                <w:sz w:val="18"/>
                <w:szCs w:val="20"/>
              </w:rPr>
            </w:pPr>
            <w:r w:rsidRPr="000B71EF">
              <w:rPr>
                <w:rFonts w:cs="Arial"/>
                <w:sz w:val="18"/>
                <w:szCs w:val="20"/>
              </w:rPr>
              <w:t xml:space="preserve">Detailed planning application for access works was submitted in January 2017. </w:t>
            </w:r>
          </w:p>
          <w:p w:rsidR="00BD0D2C" w:rsidRPr="000B71EF" w:rsidRDefault="00BD0D2C" w:rsidP="00BD0D2C">
            <w:pPr>
              <w:rPr>
                <w:rFonts w:cs="Arial"/>
                <w:sz w:val="18"/>
                <w:szCs w:val="20"/>
              </w:rPr>
            </w:pPr>
          </w:p>
          <w:p w:rsidR="00BD0D2C" w:rsidRPr="000B71EF" w:rsidRDefault="00BD0D2C" w:rsidP="00BD0D2C">
            <w:pPr>
              <w:rPr>
                <w:rFonts w:cs="Arial"/>
                <w:sz w:val="18"/>
                <w:szCs w:val="20"/>
              </w:rPr>
            </w:pPr>
            <w:r w:rsidRPr="000B71EF">
              <w:rPr>
                <w:rFonts w:cs="Arial"/>
                <w:sz w:val="18"/>
                <w:szCs w:val="20"/>
              </w:rPr>
              <w:t xml:space="preserve">Conditional contract for sale to a local company anticipated to conclude in Q1 of 2017/18. A S278 agreement is required between July 2017 and September 2017. </w:t>
            </w:r>
          </w:p>
          <w:p w:rsidR="00BD0D2C" w:rsidRPr="000B71EF" w:rsidRDefault="00BD0D2C" w:rsidP="00BD0D2C">
            <w:pPr>
              <w:rPr>
                <w:rFonts w:cs="Arial"/>
                <w:sz w:val="18"/>
                <w:szCs w:val="20"/>
              </w:rPr>
            </w:pPr>
          </w:p>
          <w:p w:rsidR="00BD0D2C" w:rsidRPr="000B71EF" w:rsidRDefault="00BD0D2C" w:rsidP="00BD0D2C">
            <w:pPr>
              <w:rPr>
                <w:color w:val="FF0000"/>
                <w:sz w:val="20"/>
                <w:szCs w:val="22"/>
              </w:rPr>
            </w:pPr>
            <w:r w:rsidRPr="000B71EF">
              <w:rPr>
                <w:rFonts w:cs="Arial"/>
                <w:sz w:val="18"/>
                <w:szCs w:val="20"/>
              </w:rPr>
              <w:t>Reserved matters are due to be approved in Q3 of 17/18 and Start on Site is due in Q4 of 17/18.</w:t>
            </w:r>
          </w:p>
        </w:tc>
        <w:tc>
          <w:tcPr>
            <w:tcW w:w="372" w:type="dxa"/>
            <w:shd w:val="clear" w:color="auto" w:fill="C5E0B3" w:themeFill="accent6" w:themeFillTint="66"/>
          </w:tcPr>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tc>
      </w:tr>
      <w:tr w:rsidR="00BD0D2C" w:rsidRPr="000B71EF" w:rsidTr="00610CE9">
        <w:trPr>
          <w:trHeight w:val="690"/>
        </w:trPr>
        <w:tc>
          <w:tcPr>
            <w:tcW w:w="433" w:type="dxa"/>
          </w:tcPr>
          <w:p w:rsidR="00BD0D2C" w:rsidRPr="000B71EF" w:rsidRDefault="00BD0D2C" w:rsidP="00BD0D2C">
            <w:pPr>
              <w:rPr>
                <w:sz w:val="18"/>
                <w:szCs w:val="20"/>
              </w:rPr>
            </w:pPr>
            <w:r w:rsidRPr="000B71EF">
              <w:rPr>
                <w:sz w:val="18"/>
                <w:szCs w:val="20"/>
              </w:rPr>
              <w:t>1</w:t>
            </w:r>
          </w:p>
        </w:tc>
        <w:tc>
          <w:tcPr>
            <w:tcW w:w="516" w:type="dxa"/>
          </w:tcPr>
          <w:p w:rsidR="00BD0D2C" w:rsidRPr="000B71EF" w:rsidRDefault="00BD0D2C" w:rsidP="00BD0D2C">
            <w:pPr>
              <w:rPr>
                <w:sz w:val="18"/>
                <w:szCs w:val="20"/>
              </w:rPr>
            </w:pPr>
            <w:r w:rsidRPr="000B71EF">
              <w:rPr>
                <w:sz w:val="18"/>
                <w:szCs w:val="20"/>
              </w:rPr>
              <w:t>E2</w:t>
            </w:r>
          </w:p>
        </w:tc>
        <w:tc>
          <w:tcPr>
            <w:tcW w:w="1522" w:type="dxa"/>
          </w:tcPr>
          <w:p w:rsidR="00BD0D2C" w:rsidRPr="000B71EF" w:rsidRDefault="00BD0D2C" w:rsidP="00BD0D2C">
            <w:pPr>
              <w:rPr>
                <w:sz w:val="18"/>
                <w:szCs w:val="20"/>
              </w:rPr>
            </w:pPr>
            <w:r w:rsidRPr="000B71EF">
              <w:rPr>
                <w:sz w:val="18"/>
                <w:szCs w:val="20"/>
              </w:rPr>
              <w:t>Cottam Brickworks – Phase 1 (Supermarket)</w:t>
            </w:r>
          </w:p>
        </w:tc>
        <w:tc>
          <w:tcPr>
            <w:tcW w:w="696" w:type="dxa"/>
            <w:shd w:val="clear" w:color="auto" w:fill="C5E0B3" w:themeFill="accent6" w:themeFillTint="66"/>
          </w:tcPr>
          <w:p w:rsidR="00BD0D2C" w:rsidRDefault="00BD0D2C" w:rsidP="00BD0D2C">
            <w:pPr>
              <w:rPr>
                <w:sz w:val="18"/>
                <w:szCs w:val="20"/>
              </w:rPr>
            </w:pPr>
            <w:r w:rsidRPr="000B71EF">
              <w:rPr>
                <w:sz w:val="18"/>
                <w:szCs w:val="20"/>
              </w:rPr>
              <w:t>6</w:t>
            </w:r>
          </w:p>
          <w:p w:rsidR="00BD0D2C" w:rsidRPr="00BD0D2C" w:rsidRDefault="00BD0D2C" w:rsidP="00BD0D2C">
            <w:pPr>
              <w:rPr>
                <w:sz w:val="18"/>
                <w:szCs w:val="20"/>
              </w:rPr>
            </w:pPr>
          </w:p>
          <w:p w:rsidR="00BD0D2C" w:rsidRPr="00BD0D2C" w:rsidRDefault="00BD0D2C" w:rsidP="00BD0D2C">
            <w:pPr>
              <w:rPr>
                <w:sz w:val="18"/>
                <w:szCs w:val="20"/>
              </w:rPr>
            </w:pPr>
          </w:p>
          <w:p w:rsidR="00BD0D2C" w:rsidRDefault="00BD0D2C" w:rsidP="00BD0D2C">
            <w:pPr>
              <w:rPr>
                <w:sz w:val="18"/>
                <w:szCs w:val="20"/>
              </w:rPr>
            </w:pPr>
          </w:p>
          <w:p w:rsidR="00BD0D2C" w:rsidRPr="00BD0D2C" w:rsidRDefault="00BD0D2C" w:rsidP="00BD0D2C">
            <w:pPr>
              <w:rPr>
                <w:sz w:val="18"/>
                <w:szCs w:val="20"/>
              </w:rPr>
            </w:pPr>
          </w:p>
        </w:tc>
        <w:tc>
          <w:tcPr>
            <w:tcW w:w="695" w:type="dxa"/>
            <w:shd w:val="clear" w:color="auto" w:fill="C00000"/>
          </w:tcPr>
          <w:p w:rsidR="00BD0D2C" w:rsidRPr="000B71EF" w:rsidRDefault="00BD0D2C" w:rsidP="00BD0D2C">
            <w:pPr>
              <w:rPr>
                <w:sz w:val="18"/>
                <w:szCs w:val="20"/>
              </w:rPr>
            </w:pPr>
            <w:r w:rsidRPr="000B71EF">
              <w:rPr>
                <w:sz w:val="18"/>
                <w:szCs w:val="20"/>
              </w:rPr>
              <w:t>7,13</w:t>
            </w: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Fonts w:cs="Arial"/>
                <w:sz w:val="18"/>
                <w:szCs w:val="20"/>
              </w:rPr>
            </w:pPr>
            <w:r w:rsidRPr="000B71EF">
              <w:rPr>
                <w:rFonts w:cs="Arial"/>
                <w:sz w:val="18"/>
                <w:szCs w:val="20"/>
              </w:rPr>
              <w:t xml:space="preserve">The site has planning consent, but works haven't commenced on site.  </w:t>
            </w:r>
          </w:p>
          <w:p w:rsidR="00BD0D2C" w:rsidRPr="000B71EF" w:rsidRDefault="00BD0D2C" w:rsidP="00BD0D2C">
            <w:pPr>
              <w:rPr>
                <w:rFonts w:cs="Arial"/>
                <w:sz w:val="18"/>
                <w:szCs w:val="20"/>
              </w:rPr>
            </w:pPr>
          </w:p>
          <w:p w:rsidR="00BD0D2C" w:rsidRPr="000B71EF" w:rsidRDefault="00BD0D2C" w:rsidP="00BD0D2C">
            <w:pPr>
              <w:rPr>
                <w:rFonts w:cs="Arial"/>
                <w:sz w:val="18"/>
                <w:szCs w:val="20"/>
              </w:rPr>
            </w:pPr>
            <w:r w:rsidRPr="000B71EF">
              <w:rPr>
                <w:rFonts w:cs="Arial"/>
                <w:sz w:val="18"/>
                <w:szCs w:val="20"/>
              </w:rPr>
              <w:t>All milestones for Cottam Brickworks Phase 1 have been pushed back by around 21 months. The contract of sale with Cottam Hall Properties is conditional on two key elements: signing up an anchor store and planning permission. With regard the former the contract required sign up of an anchor by 3</w:t>
            </w:r>
            <w:r w:rsidRPr="000B71EF">
              <w:rPr>
                <w:rFonts w:cs="Arial"/>
                <w:sz w:val="18"/>
                <w:szCs w:val="20"/>
                <w:vertAlign w:val="superscript"/>
              </w:rPr>
              <w:t>rd</w:t>
            </w:r>
            <w:r w:rsidRPr="000B71EF">
              <w:rPr>
                <w:rFonts w:cs="Arial"/>
                <w:sz w:val="18"/>
                <w:szCs w:val="20"/>
              </w:rPr>
              <w:t xml:space="preserve"> January 2016, but at the request of Cottam Hall Properties and in agreement with the joint Sellers, LCC/HCA, this was extended to 31</w:t>
            </w:r>
            <w:r w:rsidRPr="000B71EF">
              <w:rPr>
                <w:rFonts w:cs="Arial"/>
                <w:sz w:val="18"/>
                <w:szCs w:val="20"/>
                <w:vertAlign w:val="superscript"/>
              </w:rPr>
              <w:t>st</w:t>
            </w:r>
            <w:r w:rsidRPr="000B71EF">
              <w:rPr>
                <w:rFonts w:cs="Arial"/>
                <w:sz w:val="18"/>
                <w:szCs w:val="20"/>
              </w:rPr>
              <w:t xml:space="preserve"> October 2016. This extended date has not been met and hence why the milestones have not been met. </w:t>
            </w:r>
          </w:p>
          <w:p w:rsidR="00BD0D2C" w:rsidRPr="000B71EF" w:rsidRDefault="00BD0D2C" w:rsidP="00BD0D2C">
            <w:pPr>
              <w:rPr>
                <w:rFonts w:cs="Arial"/>
                <w:sz w:val="18"/>
                <w:szCs w:val="20"/>
              </w:rPr>
            </w:pPr>
          </w:p>
          <w:p w:rsidR="00BD0D2C" w:rsidRPr="000B71EF" w:rsidRDefault="00BD0D2C" w:rsidP="00BD0D2C">
            <w:pPr>
              <w:rPr>
                <w:rStyle w:val="Style3"/>
                <w:color w:val="FF0000"/>
                <w:szCs w:val="22"/>
              </w:rPr>
            </w:pPr>
            <w:r w:rsidRPr="000B71EF">
              <w:rPr>
                <w:rFonts w:cs="Arial"/>
                <w:sz w:val="18"/>
                <w:szCs w:val="20"/>
              </w:rPr>
              <w:t xml:space="preserve">The project manager has arranged a meeting with LCC to discuss and agree next steps. </w:t>
            </w:r>
          </w:p>
        </w:tc>
        <w:tc>
          <w:tcPr>
            <w:tcW w:w="372" w:type="dxa"/>
            <w:shd w:val="clear" w:color="auto" w:fill="FFE599" w:themeFill="accent4" w:themeFillTint="66"/>
          </w:tcPr>
          <w:p w:rsidR="00BD0D2C" w:rsidRPr="000B71EF" w:rsidRDefault="00BD0D2C" w:rsidP="00BD0D2C">
            <w:pPr>
              <w:rPr>
                <w:sz w:val="18"/>
                <w:szCs w:val="20"/>
              </w:rPr>
            </w:pPr>
          </w:p>
        </w:tc>
      </w:tr>
      <w:tr w:rsidR="00BD0D2C" w:rsidRPr="000B71EF" w:rsidTr="00BD0D2C">
        <w:tc>
          <w:tcPr>
            <w:tcW w:w="433" w:type="dxa"/>
          </w:tcPr>
          <w:p w:rsidR="00BD0D2C" w:rsidRPr="000B71EF" w:rsidRDefault="00BD0D2C" w:rsidP="00BD0D2C">
            <w:pPr>
              <w:rPr>
                <w:sz w:val="18"/>
                <w:szCs w:val="20"/>
              </w:rPr>
            </w:pPr>
            <w:r w:rsidRPr="000B71EF">
              <w:rPr>
                <w:sz w:val="18"/>
                <w:szCs w:val="20"/>
              </w:rPr>
              <w:t>1</w:t>
            </w:r>
          </w:p>
        </w:tc>
        <w:tc>
          <w:tcPr>
            <w:tcW w:w="516" w:type="dxa"/>
          </w:tcPr>
          <w:p w:rsidR="00BD0D2C" w:rsidRPr="000B71EF" w:rsidRDefault="00BD0D2C" w:rsidP="00BD0D2C">
            <w:pPr>
              <w:rPr>
                <w:sz w:val="18"/>
                <w:szCs w:val="20"/>
              </w:rPr>
            </w:pPr>
            <w:r w:rsidRPr="000B71EF">
              <w:rPr>
                <w:sz w:val="18"/>
                <w:szCs w:val="20"/>
              </w:rPr>
              <w:t>E3</w:t>
            </w:r>
          </w:p>
        </w:tc>
        <w:tc>
          <w:tcPr>
            <w:tcW w:w="1522" w:type="dxa"/>
          </w:tcPr>
          <w:p w:rsidR="00BD0D2C" w:rsidRPr="000B71EF" w:rsidRDefault="00BD0D2C" w:rsidP="00BD0D2C">
            <w:pPr>
              <w:rPr>
                <w:sz w:val="18"/>
                <w:szCs w:val="20"/>
              </w:rPr>
            </w:pPr>
            <w:r w:rsidRPr="000B71EF">
              <w:rPr>
                <w:sz w:val="18"/>
                <w:szCs w:val="20"/>
              </w:rPr>
              <w:t xml:space="preserve">Cottam Brickworks – Ph 2 </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tc>
        <w:tc>
          <w:tcPr>
            <w:tcW w:w="372" w:type="dxa"/>
            <w:shd w:val="clear" w:color="auto" w:fill="auto"/>
          </w:tcPr>
          <w:p w:rsidR="00BD0D2C" w:rsidRPr="000B71EF" w:rsidRDefault="00BD0D2C" w:rsidP="00BD0D2C">
            <w:pPr>
              <w:rPr>
                <w:sz w:val="18"/>
                <w:szCs w:val="20"/>
              </w:rPr>
            </w:pPr>
          </w:p>
        </w:tc>
      </w:tr>
      <w:tr w:rsidR="00BD0D2C" w:rsidRPr="000B71EF" w:rsidTr="00610CE9">
        <w:trPr>
          <w:trHeight w:val="510"/>
        </w:trPr>
        <w:tc>
          <w:tcPr>
            <w:tcW w:w="433" w:type="dxa"/>
          </w:tcPr>
          <w:p w:rsidR="00BD0D2C" w:rsidRPr="000B71EF" w:rsidRDefault="00BD0D2C" w:rsidP="00BD0D2C">
            <w:pPr>
              <w:rPr>
                <w:sz w:val="18"/>
                <w:szCs w:val="20"/>
              </w:rPr>
            </w:pPr>
            <w:r w:rsidRPr="000B71EF">
              <w:rPr>
                <w:sz w:val="18"/>
                <w:szCs w:val="20"/>
              </w:rPr>
              <w:t>1</w:t>
            </w:r>
          </w:p>
        </w:tc>
        <w:tc>
          <w:tcPr>
            <w:tcW w:w="516" w:type="dxa"/>
          </w:tcPr>
          <w:p w:rsidR="00BD0D2C" w:rsidRPr="000B71EF" w:rsidRDefault="00BD0D2C" w:rsidP="00BD0D2C">
            <w:pPr>
              <w:rPr>
                <w:sz w:val="18"/>
                <w:szCs w:val="20"/>
              </w:rPr>
            </w:pPr>
            <w:r w:rsidRPr="000B71EF">
              <w:rPr>
                <w:sz w:val="18"/>
                <w:szCs w:val="20"/>
              </w:rPr>
              <w:t>E4</w:t>
            </w:r>
          </w:p>
        </w:tc>
        <w:tc>
          <w:tcPr>
            <w:tcW w:w="1522" w:type="dxa"/>
          </w:tcPr>
          <w:p w:rsidR="00BD0D2C" w:rsidRPr="000B71EF" w:rsidRDefault="00BD0D2C" w:rsidP="00BD0D2C">
            <w:pPr>
              <w:rPr>
                <w:sz w:val="18"/>
                <w:szCs w:val="20"/>
              </w:rPr>
            </w:pPr>
            <w:r w:rsidRPr="000B71EF">
              <w:rPr>
                <w:sz w:val="18"/>
                <w:szCs w:val="20"/>
              </w:rPr>
              <w:t xml:space="preserve">Whittingham Hospital </w:t>
            </w:r>
          </w:p>
        </w:tc>
        <w:tc>
          <w:tcPr>
            <w:tcW w:w="696" w:type="dxa"/>
            <w:shd w:val="clear" w:color="auto" w:fill="C00000"/>
          </w:tcPr>
          <w:p w:rsidR="00BD0D2C" w:rsidRPr="000B71EF" w:rsidRDefault="00BD0D2C" w:rsidP="00BD0D2C">
            <w:pPr>
              <w:rPr>
                <w:sz w:val="18"/>
                <w:szCs w:val="20"/>
              </w:rPr>
            </w:pPr>
            <w:r w:rsidRPr="000B71EF">
              <w:rPr>
                <w:sz w:val="18"/>
                <w:szCs w:val="20"/>
              </w:rPr>
              <w:t>4</w:t>
            </w:r>
          </w:p>
        </w:tc>
        <w:tc>
          <w:tcPr>
            <w:tcW w:w="695" w:type="dxa"/>
            <w:shd w:val="clear" w:color="auto" w:fill="C00000"/>
          </w:tcPr>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Marketing is currently on hold as the disposal method for the site is currently being reviewed and a new planning application is being prepared.</w:t>
            </w:r>
          </w:p>
          <w:p w:rsidR="00BD0D2C" w:rsidRPr="000B71EF" w:rsidRDefault="00BD0D2C" w:rsidP="00BD0D2C">
            <w:pPr>
              <w:rPr>
                <w:rStyle w:val="Style3"/>
                <w:szCs w:val="22"/>
              </w:rPr>
            </w:pPr>
          </w:p>
          <w:p w:rsidR="00BD0D2C" w:rsidRPr="000B71EF" w:rsidRDefault="00BD0D2C" w:rsidP="00BD0D2C">
            <w:pPr>
              <w:rPr>
                <w:rStyle w:val="Style3"/>
                <w:color w:val="FF0000"/>
                <w:szCs w:val="22"/>
              </w:rPr>
            </w:pPr>
            <w:r w:rsidRPr="000B71EF">
              <w:rPr>
                <w:rStyle w:val="Style3"/>
                <w:szCs w:val="22"/>
              </w:rPr>
              <w:t xml:space="preserve">There is also a connection between the employment site and phase 2 residential site, as the access needs to be delivered through the residential scheme to allow for the commercial site. Phase 2 residential site has been delayed due to the deal falling away with the developer. </w:t>
            </w:r>
          </w:p>
        </w:tc>
        <w:tc>
          <w:tcPr>
            <w:tcW w:w="372" w:type="dxa"/>
            <w:shd w:val="clear" w:color="auto" w:fill="FFE599" w:themeFill="accent4" w:themeFillTint="66"/>
          </w:tcPr>
          <w:p w:rsidR="00BD0D2C" w:rsidRPr="000B71EF" w:rsidRDefault="00BD0D2C" w:rsidP="00BD0D2C">
            <w:pPr>
              <w:rPr>
                <w:sz w:val="18"/>
                <w:szCs w:val="20"/>
              </w:rPr>
            </w:pPr>
          </w:p>
        </w:tc>
      </w:tr>
      <w:tr w:rsidR="00BD0D2C" w:rsidRPr="000B71EF" w:rsidTr="00610CE9">
        <w:trPr>
          <w:trHeight w:val="508"/>
        </w:trPr>
        <w:tc>
          <w:tcPr>
            <w:tcW w:w="433" w:type="dxa"/>
          </w:tcPr>
          <w:p w:rsidR="00BD0D2C" w:rsidRPr="000B71EF" w:rsidRDefault="00BD0D2C" w:rsidP="00BD0D2C">
            <w:pPr>
              <w:rPr>
                <w:sz w:val="18"/>
                <w:szCs w:val="20"/>
              </w:rPr>
            </w:pPr>
            <w:r w:rsidRPr="000B71EF">
              <w:rPr>
                <w:sz w:val="18"/>
                <w:szCs w:val="20"/>
              </w:rPr>
              <w:t>2</w:t>
            </w:r>
          </w:p>
        </w:tc>
        <w:tc>
          <w:tcPr>
            <w:tcW w:w="516" w:type="dxa"/>
          </w:tcPr>
          <w:p w:rsidR="00BD0D2C" w:rsidRPr="000B71EF" w:rsidRDefault="00BD0D2C" w:rsidP="00BD0D2C">
            <w:pPr>
              <w:rPr>
                <w:sz w:val="18"/>
                <w:szCs w:val="20"/>
              </w:rPr>
            </w:pPr>
            <w:r w:rsidRPr="000B71EF">
              <w:rPr>
                <w:sz w:val="18"/>
                <w:szCs w:val="20"/>
              </w:rPr>
              <w:t>E5</w:t>
            </w:r>
          </w:p>
        </w:tc>
        <w:tc>
          <w:tcPr>
            <w:tcW w:w="1522" w:type="dxa"/>
          </w:tcPr>
          <w:p w:rsidR="00BD0D2C" w:rsidRPr="000B71EF" w:rsidRDefault="00BD0D2C" w:rsidP="00BD0D2C">
            <w:pPr>
              <w:rPr>
                <w:sz w:val="18"/>
                <w:szCs w:val="20"/>
              </w:rPr>
            </w:pPr>
            <w:r w:rsidRPr="000B71EF">
              <w:rPr>
                <w:sz w:val="18"/>
                <w:szCs w:val="20"/>
              </w:rPr>
              <w:t xml:space="preserve">Preston East – Phase 1 (Sector D) </w:t>
            </w:r>
          </w:p>
        </w:tc>
        <w:tc>
          <w:tcPr>
            <w:tcW w:w="696" w:type="dxa"/>
          </w:tcPr>
          <w:p w:rsidR="00BD0D2C" w:rsidRPr="000B71EF" w:rsidRDefault="00BD0D2C" w:rsidP="00BD0D2C">
            <w:pPr>
              <w:rPr>
                <w:sz w:val="18"/>
                <w:szCs w:val="20"/>
              </w:rPr>
            </w:pPr>
          </w:p>
        </w:tc>
        <w:tc>
          <w:tcPr>
            <w:tcW w:w="695" w:type="dxa"/>
            <w:shd w:val="clear" w:color="auto" w:fill="C5E0B3" w:themeFill="accent6" w:themeFillTint="66"/>
          </w:tcPr>
          <w:p w:rsidR="00BD0D2C" w:rsidRPr="000B71EF" w:rsidRDefault="00BD0D2C" w:rsidP="00BD0D2C">
            <w:pPr>
              <w:rPr>
                <w:sz w:val="18"/>
                <w:szCs w:val="20"/>
              </w:rPr>
            </w:pPr>
            <w:r w:rsidRPr="000B71EF">
              <w:rPr>
                <w:sz w:val="18"/>
                <w:szCs w:val="20"/>
              </w:rPr>
              <w:t>11</w:t>
            </w: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color w:val="FF0000"/>
                <w:szCs w:val="22"/>
              </w:rPr>
            </w:pPr>
            <w:r w:rsidRPr="000B71EF">
              <w:rPr>
                <w:rFonts w:cs="Arial"/>
                <w:color w:val="000000"/>
                <w:sz w:val="18"/>
                <w:szCs w:val="20"/>
              </w:rPr>
              <w:t>HCA completed the disposal of Preston Sector D on 21</w:t>
            </w:r>
            <w:r w:rsidRPr="000B71EF">
              <w:rPr>
                <w:rFonts w:cs="Arial"/>
                <w:color w:val="000000"/>
                <w:sz w:val="18"/>
                <w:szCs w:val="20"/>
                <w:vertAlign w:val="superscript"/>
              </w:rPr>
              <w:t>st</w:t>
            </w:r>
            <w:r w:rsidRPr="000B71EF">
              <w:rPr>
                <w:rFonts w:cs="Arial"/>
                <w:color w:val="000000"/>
                <w:sz w:val="18"/>
                <w:szCs w:val="20"/>
              </w:rPr>
              <w:t xml:space="preserve"> December 2016.</w:t>
            </w:r>
          </w:p>
        </w:tc>
        <w:tc>
          <w:tcPr>
            <w:tcW w:w="372" w:type="dxa"/>
            <w:shd w:val="clear" w:color="auto" w:fill="C5E0B3" w:themeFill="accent6" w:themeFillTint="66"/>
          </w:tcPr>
          <w:p w:rsidR="00BD0D2C" w:rsidRPr="000B71EF" w:rsidRDefault="00BD0D2C" w:rsidP="00BD0D2C">
            <w:pPr>
              <w:rPr>
                <w:rStyle w:val="Style3"/>
                <w:szCs w:val="22"/>
              </w:rPr>
            </w:pPr>
          </w:p>
        </w:tc>
      </w:tr>
      <w:tr w:rsidR="00BD0D2C" w:rsidRPr="000B71EF" w:rsidTr="00BD0D2C">
        <w:trPr>
          <w:trHeight w:val="801"/>
        </w:trPr>
        <w:tc>
          <w:tcPr>
            <w:tcW w:w="433" w:type="dxa"/>
          </w:tcPr>
          <w:p w:rsidR="00BD0D2C" w:rsidRPr="000B71EF" w:rsidRDefault="00BD0D2C" w:rsidP="00BD0D2C">
            <w:pPr>
              <w:rPr>
                <w:sz w:val="18"/>
                <w:szCs w:val="20"/>
              </w:rPr>
            </w:pPr>
            <w:r w:rsidRPr="000B71EF">
              <w:rPr>
                <w:sz w:val="18"/>
                <w:szCs w:val="20"/>
              </w:rPr>
              <w:lastRenderedPageBreak/>
              <w:t>2</w:t>
            </w:r>
          </w:p>
        </w:tc>
        <w:tc>
          <w:tcPr>
            <w:tcW w:w="516" w:type="dxa"/>
          </w:tcPr>
          <w:p w:rsidR="00BD0D2C" w:rsidRPr="000B71EF" w:rsidRDefault="00BD0D2C" w:rsidP="00BD0D2C">
            <w:pPr>
              <w:rPr>
                <w:sz w:val="18"/>
                <w:szCs w:val="20"/>
              </w:rPr>
            </w:pPr>
            <w:r w:rsidRPr="000B71EF">
              <w:rPr>
                <w:sz w:val="18"/>
                <w:szCs w:val="20"/>
              </w:rPr>
              <w:t>E6</w:t>
            </w:r>
          </w:p>
        </w:tc>
        <w:tc>
          <w:tcPr>
            <w:tcW w:w="1522" w:type="dxa"/>
          </w:tcPr>
          <w:p w:rsidR="00BD0D2C" w:rsidRPr="000B71EF" w:rsidRDefault="00BD0D2C" w:rsidP="00BD0D2C">
            <w:pPr>
              <w:rPr>
                <w:sz w:val="18"/>
                <w:szCs w:val="20"/>
              </w:rPr>
            </w:pPr>
            <w:r w:rsidRPr="000B71EF">
              <w:rPr>
                <w:sz w:val="18"/>
                <w:szCs w:val="20"/>
              </w:rPr>
              <w:t>Preston East – Phase 2 (Expansion Land)</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p w:rsidR="00BD0D2C" w:rsidRPr="000B71EF" w:rsidRDefault="00BD0D2C" w:rsidP="00BD0D2C">
            <w:pPr>
              <w:rPr>
                <w:sz w:val="20"/>
                <w:szCs w:val="22"/>
              </w:rPr>
            </w:pPr>
          </w:p>
          <w:p w:rsidR="00BD0D2C" w:rsidRPr="000B71EF" w:rsidRDefault="00BD0D2C" w:rsidP="00BD0D2C">
            <w:pPr>
              <w:tabs>
                <w:tab w:val="left" w:pos="978"/>
              </w:tabs>
              <w:rPr>
                <w:sz w:val="20"/>
                <w:szCs w:val="22"/>
              </w:rPr>
            </w:pPr>
          </w:p>
        </w:tc>
        <w:tc>
          <w:tcPr>
            <w:tcW w:w="372" w:type="dxa"/>
          </w:tcPr>
          <w:p w:rsidR="00BD0D2C" w:rsidRPr="000B71EF" w:rsidRDefault="00BD0D2C" w:rsidP="00BD0D2C">
            <w:pPr>
              <w:rPr>
                <w:rStyle w:val="Style3"/>
                <w:szCs w:val="22"/>
              </w:rPr>
            </w:pPr>
          </w:p>
        </w:tc>
      </w:tr>
      <w:tr w:rsidR="00BD0D2C" w:rsidRPr="000B71EF" w:rsidTr="00BD0D2C">
        <w:trPr>
          <w:trHeight w:val="354"/>
        </w:trPr>
        <w:tc>
          <w:tcPr>
            <w:tcW w:w="433" w:type="dxa"/>
          </w:tcPr>
          <w:p w:rsidR="00BD0D2C" w:rsidRPr="000B71EF" w:rsidRDefault="00BD0D2C" w:rsidP="00BD0D2C">
            <w:pPr>
              <w:rPr>
                <w:sz w:val="18"/>
                <w:szCs w:val="20"/>
              </w:rPr>
            </w:pPr>
            <w:r w:rsidRPr="000B71EF">
              <w:rPr>
                <w:sz w:val="18"/>
                <w:szCs w:val="20"/>
              </w:rPr>
              <w:t>2</w:t>
            </w:r>
          </w:p>
        </w:tc>
        <w:tc>
          <w:tcPr>
            <w:tcW w:w="516" w:type="dxa"/>
          </w:tcPr>
          <w:p w:rsidR="00BD0D2C" w:rsidRPr="000B71EF" w:rsidRDefault="00BD0D2C" w:rsidP="00BD0D2C">
            <w:pPr>
              <w:rPr>
                <w:sz w:val="18"/>
                <w:szCs w:val="20"/>
              </w:rPr>
            </w:pPr>
            <w:r w:rsidRPr="000B71EF">
              <w:rPr>
                <w:sz w:val="18"/>
                <w:szCs w:val="20"/>
              </w:rPr>
              <w:t>E7</w:t>
            </w:r>
          </w:p>
        </w:tc>
        <w:tc>
          <w:tcPr>
            <w:tcW w:w="1522" w:type="dxa"/>
          </w:tcPr>
          <w:p w:rsidR="00BD0D2C" w:rsidRPr="000B71EF" w:rsidRDefault="00BD0D2C" w:rsidP="00BD0D2C">
            <w:pPr>
              <w:rPr>
                <w:sz w:val="18"/>
                <w:szCs w:val="20"/>
              </w:rPr>
            </w:pPr>
            <w:r w:rsidRPr="000B71EF">
              <w:rPr>
                <w:sz w:val="18"/>
                <w:szCs w:val="20"/>
              </w:rPr>
              <w:t>Red Scar</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tc>
        <w:tc>
          <w:tcPr>
            <w:tcW w:w="372" w:type="dxa"/>
          </w:tcPr>
          <w:p w:rsidR="00BD0D2C" w:rsidRPr="000B71EF" w:rsidRDefault="00BD0D2C" w:rsidP="00BD0D2C">
            <w:pPr>
              <w:rPr>
                <w:rStyle w:val="Style3"/>
                <w:szCs w:val="22"/>
              </w:rPr>
            </w:pPr>
          </w:p>
        </w:tc>
      </w:tr>
      <w:tr w:rsidR="00BD0D2C" w:rsidRPr="000B71EF" w:rsidTr="00BD0D2C">
        <w:trPr>
          <w:trHeight w:val="979"/>
        </w:trPr>
        <w:tc>
          <w:tcPr>
            <w:tcW w:w="433" w:type="dxa"/>
          </w:tcPr>
          <w:p w:rsidR="00BD0D2C" w:rsidRPr="000B71EF" w:rsidRDefault="00BD0D2C" w:rsidP="00BD0D2C">
            <w:pPr>
              <w:rPr>
                <w:sz w:val="18"/>
                <w:szCs w:val="20"/>
              </w:rPr>
            </w:pPr>
            <w:r w:rsidRPr="000B71EF">
              <w:rPr>
                <w:sz w:val="18"/>
                <w:szCs w:val="20"/>
              </w:rPr>
              <w:t>2</w:t>
            </w:r>
          </w:p>
        </w:tc>
        <w:tc>
          <w:tcPr>
            <w:tcW w:w="516" w:type="dxa"/>
          </w:tcPr>
          <w:p w:rsidR="00BD0D2C" w:rsidRPr="000B71EF" w:rsidRDefault="00BD0D2C" w:rsidP="00BD0D2C">
            <w:pPr>
              <w:rPr>
                <w:sz w:val="18"/>
                <w:szCs w:val="20"/>
              </w:rPr>
            </w:pPr>
            <w:r w:rsidRPr="000B71EF">
              <w:rPr>
                <w:sz w:val="18"/>
                <w:szCs w:val="20"/>
              </w:rPr>
              <w:t>E8</w:t>
            </w:r>
          </w:p>
        </w:tc>
        <w:tc>
          <w:tcPr>
            <w:tcW w:w="1522" w:type="dxa"/>
          </w:tcPr>
          <w:p w:rsidR="00BD0D2C" w:rsidRPr="000B71EF" w:rsidRDefault="00BD0D2C" w:rsidP="00BD0D2C">
            <w:pPr>
              <w:rPr>
                <w:sz w:val="18"/>
                <w:szCs w:val="20"/>
              </w:rPr>
            </w:pPr>
            <w:r w:rsidRPr="000B71EF">
              <w:rPr>
                <w:sz w:val="18"/>
                <w:szCs w:val="20"/>
              </w:rPr>
              <w:t xml:space="preserve">Roman Road Farm </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 xml:space="preserve">Informal discussion held on accessibility. Development brief/masterplan required. </w:t>
            </w:r>
          </w:p>
        </w:tc>
        <w:tc>
          <w:tcPr>
            <w:tcW w:w="372" w:type="dxa"/>
          </w:tcPr>
          <w:p w:rsidR="00BD0D2C" w:rsidRPr="000B71EF" w:rsidRDefault="00BD0D2C" w:rsidP="00BD0D2C">
            <w:pPr>
              <w:rPr>
                <w:rStyle w:val="Style3"/>
                <w:szCs w:val="22"/>
              </w:rPr>
            </w:pPr>
          </w:p>
        </w:tc>
      </w:tr>
      <w:tr w:rsidR="00BD0D2C" w:rsidRPr="000B71EF" w:rsidTr="00610CE9">
        <w:trPr>
          <w:trHeight w:val="920"/>
        </w:trPr>
        <w:tc>
          <w:tcPr>
            <w:tcW w:w="433" w:type="dxa"/>
          </w:tcPr>
          <w:p w:rsidR="00BD0D2C" w:rsidRPr="000B71EF" w:rsidRDefault="00BD0D2C" w:rsidP="00BD0D2C">
            <w:pPr>
              <w:rPr>
                <w:sz w:val="18"/>
                <w:szCs w:val="20"/>
              </w:rPr>
            </w:pPr>
            <w:r w:rsidRPr="000B71EF">
              <w:rPr>
                <w:sz w:val="18"/>
                <w:szCs w:val="20"/>
              </w:rPr>
              <w:t>2</w:t>
            </w:r>
          </w:p>
        </w:tc>
        <w:tc>
          <w:tcPr>
            <w:tcW w:w="516" w:type="dxa"/>
          </w:tcPr>
          <w:p w:rsidR="00BD0D2C" w:rsidRPr="000B71EF" w:rsidRDefault="00BD0D2C" w:rsidP="00BD0D2C">
            <w:pPr>
              <w:rPr>
                <w:sz w:val="18"/>
                <w:szCs w:val="20"/>
              </w:rPr>
            </w:pPr>
            <w:r w:rsidRPr="000B71EF">
              <w:rPr>
                <w:sz w:val="18"/>
                <w:szCs w:val="20"/>
              </w:rPr>
              <w:t>E9</w:t>
            </w:r>
          </w:p>
        </w:tc>
        <w:tc>
          <w:tcPr>
            <w:tcW w:w="1522" w:type="dxa"/>
          </w:tcPr>
          <w:p w:rsidR="00BD0D2C" w:rsidRPr="000B71EF" w:rsidRDefault="00BD0D2C" w:rsidP="00BD0D2C">
            <w:pPr>
              <w:rPr>
                <w:sz w:val="18"/>
                <w:szCs w:val="20"/>
              </w:rPr>
            </w:pPr>
            <w:r w:rsidRPr="000B71EF">
              <w:rPr>
                <w:sz w:val="18"/>
                <w:szCs w:val="20"/>
              </w:rPr>
              <w:t>Bluebell Way (LCC site)</w:t>
            </w:r>
          </w:p>
        </w:tc>
        <w:tc>
          <w:tcPr>
            <w:tcW w:w="696" w:type="dxa"/>
            <w:shd w:val="clear" w:color="auto" w:fill="C00000"/>
          </w:tcPr>
          <w:p w:rsidR="00BD0D2C" w:rsidRPr="000B71EF" w:rsidRDefault="00BD0D2C" w:rsidP="00BD0D2C">
            <w:pPr>
              <w:rPr>
                <w:sz w:val="18"/>
                <w:szCs w:val="20"/>
              </w:rPr>
            </w:pPr>
            <w:r w:rsidRPr="000B71EF">
              <w:rPr>
                <w:sz w:val="18"/>
                <w:szCs w:val="20"/>
              </w:rPr>
              <w:t>2,5,10</w:t>
            </w:r>
          </w:p>
        </w:tc>
        <w:tc>
          <w:tcPr>
            <w:tcW w:w="695" w:type="dxa"/>
            <w:shd w:val="clear" w:color="auto" w:fill="C00000"/>
          </w:tcPr>
          <w:p w:rsidR="00BD0D2C" w:rsidRPr="000B71EF" w:rsidRDefault="00BD0D2C" w:rsidP="00BD0D2C">
            <w:pPr>
              <w:rPr>
                <w:sz w:val="18"/>
                <w:szCs w:val="20"/>
              </w:rPr>
            </w:pPr>
            <w:r w:rsidRPr="000B71EF">
              <w:rPr>
                <w:sz w:val="18"/>
                <w:szCs w:val="20"/>
              </w:rPr>
              <w:t>6,3,11</w:t>
            </w:r>
          </w:p>
          <w:p w:rsidR="00BD0D2C" w:rsidRPr="000B71EF" w:rsidRDefault="00BD0D2C" w:rsidP="00610CE9">
            <w:pPr>
              <w:rPr>
                <w:sz w:val="18"/>
                <w:szCs w:val="20"/>
              </w:rPr>
            </w:pPr>
          </w:p>
        </w:tc>
        <w:tc>
          <w:tcPr>
            <w:tcW w:w="6173" w:type="dxa"/>
            <w:shd w:val="clear" w:color="auto" w:fill="auto"/>
          </w:tcPr>
          <w:p w:rsidR="00BD0D2C" w:rsidRPr="000B71EF" w:rsidRDefault="00362A9C" w:rsidP="00BD0D2C">
            <w:pPr>
              <w:rPr>
                <w:rStyle w:val="Style3"/>
                <w:szCs w:val="22"/>
              </w:rPr>
            </w:pPr>
            <w:r>
              <w:rPr>
                <w:rStyle w:val="Style3"/>
                <w:szCs w:val="22"/>
              </w:rPr>
              <w:t>Following a higher offer being received for the site LCC were duty bound to remarket the property.</w:t>
            </w:r>
          </w:p>
          <w:p w:rsidR="00BD0D2C" w:rsidRPr="000B71EF" w:rsidRDefault="00BD0D2C" w:rsidP="00BD0D2C">
            <w:pPr>
              <w:rPr>
                <w:rStyle w:val="Style3"/>
                <w:szCs w:val="22"/>
              </w:rPr>
            </w:pPr>
            <w:r w:rsidRPr="000B71EF">
              <w:rPr>
                <w:rStyle w:val="Style3"/>
                <w:szCs w:val="22"/>
              </w:rPr>
              <w:t>HoT's are being negotiated with a new party, and it is expected that the freehold contract will</w:t>
            </w:r>
            <w:r w:rsidR="00362A9C">
              <w:rPr>
                <w:rStyle w:val="Style3"/>
                <w:szCs w:val="22"/>
              </w:rPr>
              <w:t xml:space="preserve"> be exchanged</w:t>
            </w:r>
            <w:r w:rsidRPr="000B71EF">
              <w:rPr>
                <w:rStyle w:val="Style3"/>
                <w:szCs w:val="22"/>
              </w:rPr>
              <w:t xml:space="preserve"> b</w:t>
            </w:r>
            <w:r w:rsidR="00362A9C">
              <w:rPr>
                <w:rStyle w:val="Style3"/>
                <w:szCs w:val="22"/>
              </w:rPr>
              <w:t>y</w:t>
            </w:r>
            <w:r w:rsidRPr="000B71EF">
              <w:rPr>
                <w:rStyle w:val="Style3"/>
                <w:szCs w:val="22"/>
              </w:rPr>
              <w:t xml:space="preserve">  Q2 2017/18. </w:t>
            </w:r>
          </w:p>
          <w:p w:rsidR="00BD0D2C" w:rsidRPr="000B71EF" w:rsidRDefault="00BD0D2C" w:rsidP="00BD0D2C">
            <w:pPr>
              <w:rPr>
                <w:rStyle w:val="Style3"/>
                <w:szCs w:val="22"/>
              </w:rPr>
            </w:pPr>
          </w:p>
          <w:p w:rsidR="00BD0D2C" w:rsidRPr="000B71EF" w:rsidRDefault="00BD0D2C" w:rsidP="00362A9C">
            <w:pPr>
              <w:rPr>
                <w:rStyle w:val="Style3"/>
                <w:szCs w:val="22"/>
              </w:rPr>
            </w:pPr>
            <w:r w:rsidRPr="000B71EF">
              <w:rPr>
                <w:rStyle w:val="Style3"/>
                <w:szCs w:val="22"/>
              </w:rPr>
              <w:t>The disposal will be conditional and future milestones are unknown at this stage, but it is expected that planning progress will be quickly made</w:t>
            </w:r>
            <w:r w:rsidR="00362A9C">
              <w:rPr>
                <w:rStyle w:val="Style3"/>
                <w:szCs w:val="22"/>
              </w:rPr>
              <w:t>.</w:t>
            </w:r>
            <w:r w:rsidRPr="000B71EF">
              <w:rPr>
                <w:rStyle w:val="Style3"/>
                <w:szCs w:val="22"/>
              </w:rPr>
              <w:t xml:space="preserve">.  </w:t>
            </w:r>
          </w:p>
        </w:tc>
        <w:tc>
          <w:tcPr>
            <w:tcW w:w="372" w:type="dxa"/>
            <w:shd w:val="clear" w:color="auto" w:fill="FFE599" w:themeFill="accent4" w:themeFillTint="66"/>
          </w:tcPr>
          <w:p w:rsidR="00BD0D2C" w:rsidRPr="000B71EF" w:rsidRDefault="00BD0D2C" w:rsidP="00BD0D2C">
            <w:pPr>
              <w:rPr>
                <w:rStyle w:val="Style3"/>
                <w:szCs w:val="22"/>
              </w:rPr>
            </w:pPr>
          </w:p>
        </w:tc>
      </w:tr>
      <w:tr w:rsidR="00BD0D2C" w:rsidRPr="000B71EF" w:rsidTr="00610CE9">
        <w:trPr>
          <w:trHeight w:val="920"/>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E10</w:t>
            </w:r>
          </w:p>
        </w:tc>
        <w:tc>
          <w:tcPr>
            <w:tcW w:w="1522" w:type="dxa"/>
          </w:tcPr>
          <w:p w:rsidR="00BD0D2C" w:rsidRPr="000B71EF" w:rsidRDefault="00BD0D2C" w:rsidP="00BD0D2C">
            <w:pPr>
              <w:rPr>
                <w:sz w:val="18"/>
                <w:szCs w:val="20"/>
              </w:rPr>
            </w:pPr>
            <w:r w:rsidRPr="000B71EF">
              <w:rPr>
                <w:sz w:val="18"/>
                <w:szCs w:val="20"/>
              </w:rPr>
              <w:t>Preston CBD</w:t>
            </w: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10</w:t>
            </w:r>
          </w:p>
        </w:tc>
        <w:tc>
          <w:tcPr>
            <w:tcW w:w="695" w:type="dxa"/>
            <w:shd w:val="clear" w:color="auto" w:fill="C00000"/>
          </w:tcPr>
          <w:p w:rsidR="00BD0D2C" w:rsidRPr="000B71EF" w:rsidRDefault="00BD0D2C" w:rsidP="00BD0D2C">
            <w:pPr>
              <w:rPr>
                <w:sz w:val="18"/>
                <w:szCs w:val="20"/>
              </w:rPr>
            </w:pPr>
            <w:r w:rsidRPr="000B71EF">
              <w:rPr>
                <w:sz w:val="18"/>
                <w:szCs w:val="20"/>
              </w:rPr>
              <w:t>6,7,11,12</w:t>
            </w: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An agent has been appointed for the Staples site which is reliant upon an anchor tenant to bring forward. It is expected that the milestones will need to be revised to reflect the current market and the anticipated site delivery in future years. The site delivery remains market dependent but strategic marketing continues to take place via City Deal Comms activity and those of partner organisations. </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 xml:space="preserve">The CBD also includes the Fishergate Centre and new milestones will be required following the withdrawal of their cinema/retail development plans. </w:t>
            </w:r>
          </w:p>
        </w:tc>
        <w:tc>
          <w:tcPr>
            <w:tcW w:w="372" w:type="dxa"/>
            <w:shd w:val="clear" w:color="auto" w:fill="FFE599" w:themeFill="accent4" w:themeFillTint="66"/>
          </w:tcPr>
          <w:p w:rsidR="00BD0D2C" w:rsidRPr="000B71EF" w:rsidRDefault="00BD0D2C" w:rsidP="00BD0D2C">
            <w:pPr>
              <w:rPr>
                <w:rStyle w:val="Style3"/>
                <w:szCs w:val="22"/>
              </w:rPr>
            </w:pPr>
          </w:p>
        </w:tc>
      </w:tr>
      <w:tr w:rsidR="00BD0D2C" w:rsidRPr="000B71EF" w:rsidTr="00B509EF">
        <w:trPr>
          <w:trHeight w:val="920"/>
        </w:trPr>
        <w:tc>
          <w:tcPr>
            <w:tcW w:w="433" w:type="dxa"/>
            <w:shd w:val="clear" w:color="auto" w:fill="9CC2E5" w:themeFill="accent1" w:themeFillTint="99"/>
          </w:tcPr>
          <w:p w:rsidR="00BD0D2C" w:rsidRPr="000B71EF" w:rsidRDefault="00BD0D2C" w:rsidP="00BD0D2C">
            <w:pPr>
              <w:rPr>
                <w:sz w:val="18"/>
                <w:szCs w:val="20"/>
              </w:rPr>
            </w:pPr>
            <w:r w:rsidRPr="000B71EF">
              <w:rPr>
                <w:sz w:val="18"/>
                <w:szCs w:val="20"/>
              </w:rPr>
              <w:t>3</w:t>
            </w:r>
          </w:p>
        </w:tc>
        <w:tc>
          <w:tcPr>
            <w:tcW w:w="516" w:type="dxa"/>
            <w:shd w:val="clear" w:color="auto" w:fill="9CC2E5" w:themeFill="accent1" w:themeFillTint="99"/>
          </w:tcPr>
          <w:p w:rsidR="00BD0D2C" w:rsidRPr="000B71EF" w:rsidRDefault="00BD0D2C" w:rsidP="00BD0D2C">
            <w:pPr>
              <w:rPr>
                <w:sz w:val="18"/>
                <w:szCs w:val="20"/>
              </w:rPr>
            </w:pPr>
            <w:r w:rsidRPr="000B71EF">
              <w:rPr>
                <w:sz w:val="18"/>
                <w:szCs w:val="20"/>
              </w:rPr>
              <w:t>E11</w:t>
            </w:r>
          </w:p>
        </w:tc>
        <w:tc>
          <w:tcPr>
            <w:tcW w:w="1522" w:type="dxa"/>
            <w:shd w:val="clear" w:color="auto" w:fill="9CC2E5" w:themeFill="accent1" w:themeFillTint="99"/>
          </w:tcPr>
          <w:p w:rsidR="00BD0D2C" w:rsidRPr="000B71EF" w:rsidRDefault="00BD0D2C" w:rsidP="00BD0D2C">
            <w:pPr>
              <w:rPr>
                <w:sz w:val="18"/>
                <w:szCs w:val="20"/>
              </w:rPr>
            </w:pPr>
            <w:r w:rsidRPr="000B71EF">
              <w:rPr>
                <w:sz w:val="18"/>
                <w:szCs w:val="20"/>
              </w:rPr>
              <w:t>Winckley Square – Phase 1 (Glovers Court)</w:t>
            </w:r>
          </w:p>
        </w:tc>
        <w:tc>
          <w:tcPr>
            <w:tcW w:w="696" w:type="dxa"/>
            <w:shd w:val="clear" w:color="auto" w:fill="9CC2E5" w:themeFill="accent1" w:themeFillTint="99"/>
          </w:tcPr>
          <w:p w:rsidR="00BD0D2C" w:rsidRPr="000B71EF" w:rsidRDefault="00BD0D2C" w:rsidP="00BD0D2C">
            <w:pPr>
              <w:rPr>
                <w:sz w:val="18"/>
                <w:szCs w:val="20"/>
              </w:rPr>
            </w:pPr>
            <w:r w:rsidRPr="000B71EF">
              <w:rPr>
                <w:sz w:val="18"/>
                <w:szCs w:val="20"/>
              </w:rPr>
              <w:t>10,13</w:t>
            </w:r>
          </w:p>
        </w:tc>
        <w:tc>
          <w:tcPr>
            <w:tcW w:w="695" w:type="dxa"/>
            <w:shd w:val="clear" w:color="auto" w:fill="9CC2E5" w:themeFill="accent1" w:themeFillTint="99"/>
          </w:tcPr>
          <w:p w:rsidR="00BD0D2C" w:rsidRPr="000B71EF" w:rsidRDefault="00BD0D2C" w:rsidP="00BD0D2C">
            <w:pPr>
              <w:rPr>
                <w:sz w:val="18"/>
                <w:szCs w:val="20"/>
              </w:rPr>
            </w:pPr>
            <w:r w:rsidRPr="000B71EF">
              <w:rPr>
                <w:sz w:val="18"/>
                <w:szCs w:val="20"/>
              </w:rPr>
              <w:t>11</w:t>
            </w:r>
          </w:p>
        </w:tc>
        <w:tc>
          <w:tcPr>
            <w:tcW w:w="6173" w:type="dxa"/>
            <w:shd w:val="clear" w:color="auto" w:fill="9CC2E5" w:themeFill="accent1" w:themeFillTint="99"/>
          </w:tcPr>
          <w:p w:rsidR="00BD0D2C" w:rsidRPr="00B509EF" w:rsidRDefault="00BD0D2C" w:rsidP="00BD0D2C">
            <w:pPr>
              <w:rPr>
                <w:rStyle w:val="Style3"/>
                <w:b/>
                <w:szCs w:val="22"/>
              </w:rPr>
            </w:pPr>
            <w:r w:rsidRPr="00B509EF">
              <w:rPr>
                <w:rStyle w:val="Style3"/>
                <w:b/>
                <w:szCs w:val="22"/>
              </w:rPr>
              <w:t xml:space="preserve">Project completed. </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The building has been sold to an owner occupier (Soap Media).</w:t>
            </w:r>
          </w:p>
          <w:p w:rsidR="00BD0D2C" w:rsidRPr="000B71EF" w:rsidRDefault="00BD0D2C" w:rsidP="00BD0D2C">
            <w:pPr>
              <w:rPr>
                <w:rStyle w:val="Style3"/>
                <w:szCs w:val="22"/>
              </w:rPr>
            </w:pPr>
            <w:r w:rsidRPr="000B71EF">
              <w:rPr>
                <w:rStyle w:val="Style3"/>
                <w:szCs w:val="22"/>
              </w:rPr>
              <w:t xml:space="preserve">This is one of a number of new occupiers to the Winckley Square area.  </w:t>
            </w:r>
          </w:p>
        </w:tc>
        <w:tc>
          <w:tcPr>
            <w:tcW w:w="372" w:type="dxa"/>
            <w:shd w:val="clear" w:color="auto" w:fill="9CC2E5" w:themeFill="accent1" w:themeFillTint="99"/>
          </w:tcPr>
          <w:p w:rsidR="00BD0D2C" w:rsidRPr="000B71EF" w:rsidRDefault="00BD0D2C" w:rsidP="00BD0D2C">
            <w:pPr>
              <w:rPr>
                <w:rStyle w:val="Style3"/>
                <w:sz w:val="18"/>
                <w:szCs w:val="20"/>
              </w:rPr>
            </w:pPr>
          </w:p>
        </w:tc>
      </w:tr>
      <w:tr w:rsidR="00BD0D2C" w:rsidRPr="000B71EF" w:rsidTr="00610CE9">
        <w:trPr>
          <w:trHeight w:val="920"/>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E12</w:t>
            </w:r>
          </w:p>
        </w:tc>
        <w:tc>
          <w:tcPr>
            <w:tcW w:w="1522" w:type="dxa"/>
          </w:tcPr>
          <w:p w:rsidR="00BD0D2C" w:rsidRPr="000B71EF" w:rsidRDefault="00BD0D2C" w:rsidP="00BD0D2C">
            <w:pPr>
              <w:rPr>
                <w:sz w:val="18"/>
                <w:szCs w:val="20"/>
              </w:rPr>
            </w:pPr>
            <w:r w:rsidRPr="000B71EF">
              <w:rPr>
                <w:sz w:val="18"/>
                <w:szCs w:val="20"/>
              </w:rPr>
              <w:t>Winckley Square – Phase 2 (Winckley Square)</w:t>
            </w:r>
          </w:p>
        </w:tc>
        <w:tc>
          <w:tcPr>
            <w:tcW w:w="696" w:type="dxa"/>
            <w:shd w:val="clear" w:color="auto" w:fill="C00000"/>
          </w:tcPr>
          <w:p w:rsidR="00BD0D2C" w:rsidRPr="000B71EF" w:rsidRDefault="00BD0D2C" w:rsidP="00BD0D2C">
            <w:pPr>
              <w:rPr>
                <w:sz w:val="18"/>
                <w:szCs w:val="20"/>
              </w:rPr>
            </w:pPr>
            <w:r w:rsidRPr="000B71EF">
              <w:rPr>
                <w:sz w:val="18"/>
                <w:szCs w:val="20"/>
              </w:rPr>
              <w:t>6</w:t>
            </w:r>
          </w:p>
        </w:tc>
        <w:tc>
          <w:tcPr>
            <w:tcW w:w="695" w:type="dxa"/>
            <w:shd w:val="clear" w:color="auto" w:fill="C00000"/>
          </w:tcPr>
          <w:p w:rsidR="00BD0D2C" w:rsidRPr="000B71EF" w:rsidRDefault="00BD0D2C" w:rsidP="00BD0D2C">
            <w:pPr>
              <w:rPr>
                <w:sz w:val="18"/>
                <w:szCs w:val="20"/>
              </w:rPr>
            </w:pPr>
            <w:r w:rsidRPr="000B71EF">
              <w:rPr>
                <w:sz w:val="18"/>
                <w:szCs w:val="20"/>
              </w:rPr>
              <w:t>7</w:t>
            </w: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The milestones relate to College House. </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 xml:space="preserve">The landowner has completed essential repairs and other structural/cosmetic repairs to the property, but there are no schemes currently being considered and no known developer engagement. Options are being considered within the Preston Housing Zone.  The building could also be occupied for residential use.   </w:t>
            </w:r>
          </w:p>
        </w:tc>
        <w:tc>
          <w:tcPr>
            <w:tcW w:w="372" w:type="dxa"/>
            <w:shd w:val="clear" w:color="auto" w:fill="C00000"/>
          </w:tcPr>
          <w:p w:rsidR="00BD0D2C" w:rsidRPr="000B71EF" w:rsidRDefault="00BD0D2C" w:rsidP="00BD0D2C">
            <w:pPr>
              <w:rPr>
                <w:sz w:val="18"/>
                <w:szCs w:val="20"/>
              </w:rPr>
            </w:pPr>
          </w:p>
        </w:tc>
      </w:tr>
      <w:tr w:rsidR="00BD0D2C" w:rsidRPr="000B71EF" w:rsidTr="00BD0D2C">
        <w:trPr>
          <w:trHeight w:val="920"/>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E13</w:t>
            </w:r>
          </w:p>
        </w:tc>
        <w:tc>
          <w:tcPr>
            <w:tcW w:w="1522" w:type="dxa"/>
          </w:tcPr>
          <w:p w:rsidR="00BD0D2C" w:rsidRPr="000B71EF" w:rsidRDefault="00BD0D2C" w:rsidP="00BD0D2C">
            <w:pPr>
              <w:rPr>
                <w:sz w:val="18"/>
                <w:szCs w:val="20"/>
              </w:rPr>
            </w:pPr>
            <w:r w:rsidRPr="000B71EF">
              <w:rPr>
                <w:sz w:val="18"/>
                <w:szCs w:val="20"/>
              </w:rPr>
              <w:t xml:space="preserve">Winckley Square – Phase 3 (Winckley House, Guild House, Guildhall Street) </w:t>
            </w:r>
          </w:p>
        </w:tc>
        <w:tc>
          <w:tcPr>
            <w:tcW w:w="696" w:type="dxa"/>
            <w:shd w:val="clear" w:color="auto" w:fill="FFE599" w:themeFill="accent4" w:themeFillTint="66"/>
          </w:tcPr>
          <w:p w:rsidR="00BD0D2C" w:rsidRPr="000B71EF" w:rsidRDefault="00BD0D2C" w:rsidP="00BD0D2C">
            <w:pPr>
              <w:rPr>
                <w:sz w:val="18"/>
                <w:szCs w:val="20"/>
              </w:rPr>
            </w:pPr>
            <w:r w:rsidRPr="000B71EF">
              <w:rPr>
                <w:sz w:val="18"/>
                <w:szCs w:val="20"/>
              </w:rPr>
              <w:t>4,5</w:t>
            </w:r>
          </w:p>
        </w:tc>
        <w:tc>
          <w:tcPr>
            <w:tcW w:w="695" w:type="dxa"/>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This is now a residential scheme. </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 xml:space="preserve">Expressions of interest have been received for the disposal of the properties, a preferred buyer has been selected and progress is being made to Exchange of Contract which is expected to be made by Q2 2017/18. </w:t>
            </w:r>
          </w:p>
          <w:p w:rsidR="00BD0D2C" w:rsidRPr="000B71EF" w:rsidRDefault="00BD0D2C" w:rsidP="00BD0D2C">
            <w:pPr>
              <w:rPr>
                <w:rStyle w:val="Style3"/>
                <w:szCs w:val="22"/>
              </w:rPr>
            </w:pPr>
            <w:r w:rsidRPr="000B71EF">
              <w:rPr>
                <w:rStyle w:val="Style3"/>
                <w:szCs w:val="22"/>
              </w:rPr>
              <w:t xml:space="preserve">The purchaser will convert the premises for residential use and early progress on Winckley House is expected.   </w:t>
            </w:r>
          </w:p>
        </w:tc>
        <w:tc>
          <w:tcPr>
            <w:tcW w:w="372" w:type="dxa"/>
            <w:shd w:val="clear" w:color="auto" w:fill="FFE599" w:themeFill="accent4" w:themeFillTint="66"/>
          </w:tcPr>
          <w:p w:rsidR="00BD0D2C" w:rsidRPr="000B71EF" w:rsidRDefault="00BD0D2C" w:rsidP="00BD0D2C">
            <w:pPr>
              <w:rPr>
                <w:sz w:val="18"/>
                <w:szCs w:val="20"/>
              </w:rPr>
            </w:pPr>
          </w:p>
        </w:tc>
      </w:tr>
      <w:tr w:rsidR="00BD0D2C" w:rsidRPr="000B71EF" w:rsidTr="00BD0D2C">
        <w:trPr>
          <w:trHeight w:val="920"/>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E14</w:t>
            </w:r>
          </w:p>
        </w:tc>
        <w:tc>
          <w:tcPr>
            <w:tcW w:w="1522" w:type="dxa"/>
          </w:tcPr>
          <w:p w:rsidR="00BD0D2C" w:rsidRPr="000B71EF" w:rsidRDefault="00BD0D2C" w:rsidP="00BD0D2C">
            <w:pPr>
              <w:rPr>
                <w:sz w:val="18"/>
                <w:szCs w:val="20"/>
              </w:rPr>
            </w:pPr>
            <w:r w:rsidRPr="000B71EF">
              <w:rPr>
                <w:sz w:val="18"/>
                <w:szCs w:val="20"/>
              </w:rPr>
              <w:t>Horrockses – Ph1 (Aldi)</w:t>
            </w: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14</w:t>
            </w:r>
          </w:p>
        </w:tc>
        <w:tc>
          <w:tcPr>
            <w:tcW w:w="695" w:type="dxa"/>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First phase development completed (ALDI). </w:t>
            </w:r>
          </w:p>
          <w:p w:rsidR="00BD0D2C" w:rsidRPr="000B71EF" w:rsidRDefault="00BD0D2C" w:rsidP="00BD0D2C">
            <w:pPr>
              <w:rPr>
                <w:rStyle w:val="Style3"/>
                <w:szCs w:val="22"/>
              </w:rPr>
            </w:pPr>
          </w:p>
          <w:p w:rsidR="00BD0D2C" w:rsidRPr="000B71EF" w:rsidRDefault="00BD0D2C" w:rsidP="00BD0D2C">
            <w:pPr>
              <w:rPr>
                <w:rStyle w:val="Style3"/>
                <w:color w:val="FF0000"/>
                <w:szCs w:val="22"/>
              </w:rPr>
            </w:pPr>
            <w:r w:rsidRPr="000B71EF">
              <w:rPr>
                <w:rStyle w:val="Style3"/>
                <w:szCs w:val="22"/>
              </w:rPr>
              <w:t xml:space="preserve">An additional small food &amp; drink retail unit is to be completed in June 2017.   </w:t>
            </w:r>
          </w:p>
        </w:tc>
        <w:tc>
          <w:tcPr>
            <w:tcW w:w="372" w:type="dxa"/>
            <w:shd w:val="clear" w:color="auto" w:fill="C5E0B3" w:themeFill="accent6" w:themeFillTint="66"/>
          </w:tcPr>
          <w:p w:rsidR="00BD0D2C" w:rsidRPr="000B71EF" w:rsidRDefault="00BD0D2C" w:rsidP="00BD0D2C">
            <w:pPr>
              <w:rPr>
                <w:sz w:val="18"/>
                <w:szCs w:val="20"/>
              </w:rPr>
            </w:pPr>
          </w:p>
        </w:tc>
      </w:tr>
      <w:tr w:rsidR="00BD0D2C" w:rsidRPr="000B71EF" w:rsidTr="00BD0D2C">
        <w:trPr>
          <w:trHeight w:val="478"/>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E15</w:t>
            </w:r>
          </w:p>
        </w:tc>
        <w:tc>
          <w:tcPr>
            <w:tcW w:w="1522" w:type="dxa"/>
          </w:tcPr>
          <w:p w:rsidR="00BD0D2C" w:rsidRPr="000B71EF" w:rsidRDefault="00BD0D2C" w:rsidP="00BD0D2C">
            <w:pPr>
              <w:rPr>
                <w:sz w:val="18"/>
                <w:szCs w:val="20"/>
              </w:rPr>
            </w:pPr>
            <w:r w:rsidRPr="000B71EF">
              <w:rPr>
                <w:sz w:val="18"/>
                <w:szCs w:val="20"/>
              </w:rPr>
              <w:t>Horrockses – Ph 2 (Retail)</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tc>
        <w:tc>
          <w:tcPr>
            <w:tcW w:w="372" w:type="dxa"/>
          </w:tcPr>
          <w:p w:rsidR="00BD0D2C" w:rsidRPr="000B71EF" w:rsidRDefault="00BD0D2C" w:rsidP="00BD0D2C">
            <w:pPr>
              <w:rPr>
                <w:sz w:val="18"/>
                <w:szCs w:val="20"/>
              </w:rPr>
            </w:pPr>
          </w:p>
        </w:tc>
      </w:tr>
      <w:tr w:rsidR="00BD0D2C" w:rsidRPr="000B71EF" w:rsidTr="00BD0D2C">
        <w:trPr>
          <w:trHeight w:val="448"/>
        </w:trPr>
        <w:tc>
          <w:tcPr>
            <w:tcW w:w="433" w:type="dxa"/>
          </w:tcPr>
          <w:p w:rsidR="00BD0D2C" w:rsidRPr="000B71EF" w:rsidRDefault="00BD0D2C" w:rsidP="00BD0D2C">
            <w:pPr>
              <w:rPr>
                <w:sz w:val="18"/>
                <w:szCs w:val="20"/>
              </w:rPr>
            </w:pPr>
            <w:r w:rsidRPr="000B71EF">
              <w:rPr>
                <w:sz w:val="18"/>
                <w:szCs w:val="20"/>
              </w:rPr>
              <w:lastRenderedPageBreak/>
              <w:t>3</w:t>
            </w:r>
          </w:p>
        </w:tc>
        <w:tc>
          <w:tcPr>
            <w:tcW w:w="516" w:type="dxa"/>
          </w:tcPr>
          <w:p w:rsidR="00BD0D2C" w:rsidRPr="000B71EF" w:rsidRDefault="00BD0D2C" w:rsidP="00BD0D2C">
            <w:pPr>
              <w:rPr>
                <w:sz w:val="18"/>
                <w:szCs w:val="20"/>
              </w:rPr>
            </w:pPr>
            <w:r w:rsidRPr="000B71EF">
              <w:rPr>
                <w:sz w:val="18"/>
                <w:szCs w:val="20"/>
              </w:rPr>
              <w:t>E16</w:t>
            </w:r>
          </w:p>
        </w:tc>
        <w:tc>
          <w:tcPr>
            <w:tcW w:w="1522" w:type="dxa"/>
          </w:tcPr>
          <w:p w:rsidR="00BD0D2C" w:rsidRPr="000B71EF" w:rsidRDefault="00BD0D2C" w:rsidP="00BD0D2C">
            <w:pPr>
              <w:rPr>
                <w:sz w:val="18"/>
                <w:szCs w:val="20"/>
              </w:rPr>
            </w:pPr>
            <w:r w:rsidRPr="000B71EF">
              <w:rPr>
                <w:sz w:val="18"/>
                <w:szCs w:val="20"/>
              </w:rPr>
              <w:t>Horrockses – Ph 3 (Mixed Use)</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tc>
        <w:tc>
          <w:tcPr>
            <w:tcW w:w="372" w:type="dxa"/>
          </w:tcPr>
          <w:p w:rsidR="00BD0D2C" w:rsidRPr="000B71EF" w:rsidRDefault="00BD0D2C" w:rsidP="00BD0D2C">
            <w:pPr>
              <w:rPr>
                <w:sz w:val="18"/>
                <w:szCs w:val="20"/>
              </w:rPr>
            </w:pPr>
          </w:p>
        </w:tc>
      </w:tr>
      <w:tr w:rsidR="00BD0D2C" w:rsidRPr="000B71EF" w:rsidTr="00610CE9">
        <w:trPr>
          <w:trHeight w:val="653"/>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E17</w:t>
            </w:r>
          </w:p>
        </w:tc>
        <w:tc>
          <w:tcPr>
            <w:tcW w:w="1522" w:type="dxa"/>
          </w:tcPr>
          <w:p w:rsidR="00BD0D2C" w:rsidRPr="000B71EF" w:rsidRDefault="00BD0D2C" w:rsidP="00BD0D2C">
            <w:pPr>
              <w:rPr>
                <w:sz w:val="18"/>
                <w:szCs w:val="20"/>
              </w:rPr>
            </w:pPr>
            <w:r w:rsidRPr="000B71EF">
              <w:rPr>
                <w:sz w:val="18"/>
                <w:szCs w:val="20"/>
              </w:rPr>
              <w:t>City Centre North – Ph 1 (Bus Station)</w:t>
            </w:r>
          </w:p>
          <w:p w:rsidR="00BD0D2C" w:rsidRPr="000B71EF" w:rsidRDefault="00BD0D2C" w:rsidP="00BD0D2C">
            <w:pPr>
              <w:tabs>
                <w:tab w:val="left" w:pos="1182"/>
              </w:tabs>
              <w:rPr>
                <w:sz w:val="18"/>
                <w:szCs w:val="20"/>
              </w:rPr>
            </w:pP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6,11</w:t>
            </w:r>
          </w:p>
        </w:tc>
        <w:tc>
          <w:tcPr>
            <w:tcW w:w="695" w:type="dxa"/>
            <w:shd w:val="clear" w:color="auto" w:fill="C5E0B3" w:themeFill="accent6" w:themeFillTint="66"/>
          </w:tcPr>
          <w:p w:rsidR="00BD0D2C" w:rsidRPr="000B71EF" w:rsidRDefault="00BD0D2C" w:rsidP="00BD0D2C">
            <w:pPr>
              <w:rPr>
                <w:sz w:val="18"/>
                <w:szCs w:val="20"/>
              </w:rPr>
            </w:pPr>
            <w:r w:rsidRPr="000B71EF">
              <w:rPr>
                <w:sz w:val="18"/>
                <w:szCs w:val="20"/>
              </w:rPr>
              <w:t>7,13</w:t>
            </w: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The planning application has been approved and work has started on site.</w:t>
            </w:r>
          </w:p>
          <w:p w:rsidR="00BD0D2C" w:rsidRPr="000B71EF" w:rsidRDefault="00BD0D2C" w:rsidP="00BD0D2C">
            <w:pPr>
              <w:rPr>
                <w:rStyle w:val="Style3"/>
                <w:szCs w:val="22"/>
              </w:rPr>
            </w:pPr>
            <w:r w:rsidRPr="000B71EF">
              <w:rPr>
                <w:rStyle w:val="Style3"/>
                <w:szCs w:val="22"/>
              </w:rPr>
              <w:t xml:space="preserve">Retail units are expected to be fully completed by December 2017. </w:t>
            </w:r>
          </w:p>
        </w:tc>
        <w:tc>
          <w:tcPr>
            <w:tcW w:w="372" w:type="dxa"/>
            <w:shd w:val="clear" w:color="auto" w:fill="C5E0B3" w:themeFill="accent6" w:themeFillTint="66"/>
          </w:tcPr>
          <w:p w:rsidR="00BD0D2C" w:rsidRPr="000B71EF" w:rsidRDefault="00BD0D2C" w:rsidP="00BD0D2C">
            <w:pPr>
              <w:rPr>
                <w:sz w:val="18"/>
                <w:szCs w:val="20"/>
              </w:rPr>
            </w:pPr>
          </w:p>
        </w:tc>
      </w:tr>
      <w:tr w:rsidR="00BD0D2C" w:rsidRPr="000B71EF" w:rsidTr="00610CE9">
        <w:trPr>
          <w:trHeight w:val="1191"/>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E18</w:t>
            </w:r>
          </w:p>
        </w:tc>
        <w:tc>
          <w:tcPr>
            <w:tcW w:w="1522" w:type="dxa"/>
          </w:tcPr>
          <w:p w:rsidR="00BD0D2C" w:rsidRPr="000B71EF" w:rsidRDefault="00BD0D2C" w:rsidP="00BD0D2C">
            <w:pPr>
              <w:rPr>
                <w:sz w:val="18"/>
                <w:szCs w:val="20"/>
              </w:rPr>
            </w:pPr>
            <w:r w:rsidRPr="000B71EF">
              <w:rPr>
                <w:sz w:val="18"/>
                <w:szCs w:val="20"/>
              </w:rPr>
              <w:t>City Centre North – Phase 2 (Food &amp; Drink)</w:t>
            </w: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6,7</w:t>
            </w:r>
          </w:p>
        </w:tc>
        <w:tc>
          <w:tcPr>
            <w:tcW w:w="695" w:type="dxa"/>
            <w:shd w:val="clear" w:color="auto" w:fill="C5E0B3" w:themeFill="accent6" w:themeFillTint="66"/>
          </w:tcPr>
          <w:p w:rsidR="00BD0D2C" w:rsidRPr="000B71EF" w:rsidRDefault="00BD0D2C" w:rsidP="00BD0D2C">
            <w:pPr>
              <w:rPr>
                <w:sz w:val="18"/>
                <w:szCs w:val="20"/>
              </w:rPr>
            </w:pPr>
            <w:r w:rsidRPr="000B71EF">
              <w:rPr>
                <w:sz w:val="18"/>
                <w:szCs w:val="20"/>
              </w:rPr>
              <w:t>13</w:t>
            </w: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The milestones are the same as for the Cinema project.</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 xml:space="preserve">A planning application has been approved. HoT's are being negotiated. </w:t>
            </w:r>
          </w:p>
          <w:p w:rsidR="00BD0D2C" w:rsidRPr="000B71EF" w:rsidRDefault="00BD0D2C" w:rsidP="00BD0D2C">
            <w:pPr>
              <w:rPr>
                <w:rStyle w:val="Style3"/>
                <w:szCs w:val="22"/>
              </w:rPr>
            </w:pPr>
            <w:r w:rsidRPr="000B71EF">
              <w:rPr>
                <w:rStyle w:val="Style3"/>
                <w:szCs w:val="22"/>
              </w:rPr>
              <w:t>Site demolition is scheduled for 2018.</w:t>
            </w:r>
          </w:p>
        </w:tc>
        <w:tc>
          <w:tcPr>
            <w:tcW w:w="372" w:type="dxa"/>
            <w:shd w:val="clear" w:color="auto" w:fill="C5E0B3" w:themeFill="accent6" w:themeFillTint="66"/>
          </w:tcPr>
          <w:p w:rsidR="00BD0D2C" w:rsidRPr="000B71EF" w:rsidRDefault="00BD0D2C" w:rsidP="00BD0D2C">
            <w:pPr>
              <w:rPr>
                <w:sz w:val="18"/>
                <w:szCs w:val="20"/>
              </w:rPr>
            </w:pPr>
          </w:p>
        </w:tc>
      </w:tr>
      <w:tr w:rsidR="00BD0D2C" w:rsidRPr="000B71EF" w:rsidTr="00610CE9">
        <w:trPr>
          <w:trHeight w:val="784"/>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E19</w:t>
            </w:r>
          </w:p>
        </w:tc>
        <w:tc>
          <w:tcPr>
            <w:tcW w:w="1522" w:type="dxa"/>
          </w:tcPr>
          <w:p w:rsidR="00BD0D2C" w:rsidRPr="000B71EF" w:rsidRDefault="00BD0D2C" w:rsidP="00BD0D2C">
            <w:pPr>
              <w:rPr>
                <w:sz w:val="18"/>
                <w:szCs w:val="20"/>
              </w:rPr>
            </w:pPr>
            <w:r w:rsidRPr="000B71EF">
              <w:rPr>
                <w:sz w:val="18"/>
                <w:szCs w:val="20"/>
              </w:rPr>
              <w:t>City Centre North - Phase 3 (Cinema)</w:t>
            </w: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6</w:t>
            </w:r>
          </w:p>
        </w:tc>
        <w:tc>
          <w:tcPr>
            <w:tcW w:w="695" w:type="dxa"/>
            <w:shd w:val="clear" w:color="auto" w:fill="C5E0B3" w:themeFill="accent6" w:themeFillTint="66"/>
          </w:tcPr>
          <w:p w:rsidR="00BD0D2C" w:rsidRPr="000B71EF" w:rsidRDefault="00BD0D2C" w:rsidP="00BD0D2C">
            <w:pPr>
              <w:rPr>
                <w:sz w:val="18"/>
                <w:szCs w:val="20"/>
              </w:rPr>
            </w:pPr>
            <w:r w:rsidRPr="000B71EF">
              <w:rPr>
                <w:sz w:val="18"/>
                <w:szCs w:val="20"/>
              </w:rPr>
              <w:t>7</w:t>
            </w:r>
          </w:p>
          <w:p w:rsidR="00BD0D2C" w:rsidRPr="000B71EF" w:rsidRDefault="00BD0D2C" w:rsidP="00BD0D2C">
            <w:pPr>
              <w:rPr>
                <w:sz w:val="18"/>
                <w:szCs w:val="20"/>
              </w:rPr>
            </w:pP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A planning application has been approved. HoT's are being negotiated. </w:t>
            </w:r>
          </w:p>
          <w:p w:rsidR="00BD0D2C" w:rsidRPr="008B2BDA" w:rsidRDefault="00BD0D2C" w:rsidP="00BD0D2C">
            <w:pPr>
              <w:rPr>
                <w:sz w:val="20"/>
                <w:szCs w:val="22"/>
              </w:rPr>
            </w:pPr>
            <w:r w:rsidRPr="000B71EF">
              <w:rPr>
                <w:rStyle w:val="Style3"/>
                <w:szCs w:val="22"/>
              </w:rPr>
              <w:t xml:space="preserve">Site demolition is scheduled for 2018. </w:t>
            </w:r>
          </w:p>
        </w:tc>
        <w:tc>
          <w:tcPr>
            <w:tcW w:w="372" w:type="dxa"/>
            <w:shd w:val="clear" w:color="auto" w:fill="C5E0B3" w:themeFill="accent6" w:themeFillTint="66"/>
          </w:tcPr>
          <w:p w:rsidR="00BD0D2C" w:rsidRPr="000B71EF" w:rsidRDefault="00BD0D2C" w:rsidP="00BD0D2C">
            <w:pPr>
              <w:rPr>
                <w:rStyle w:val="Style3"/>
                <w:sz w:val="18"/>
                <w:szCs w:val="20"/>
              </w:rPr>
            </w:pPr>
          </w:p>
        </w:tc>
      </w:tr>
      <w:tr w:rsidR="00BD0D2C" w:rsidRPr="000B71EF" w:rsidTr="00B509EF">
        <w:trPr>
          <w:trHeight w:val="840"/>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E20</w:t>
            </w:r>
          </w:p>
        </w:tc>
        <w:tc>
          <w:tcPr>
            <w:tcW w:w="1522" w:type="dxa"/>
          </w:tcPr>
          <w:p w:rsidR="00BD0D2C" w:rsidRPr="000B71EF" w:rsidRDefault="00BD0D2C" w:rsidP="00BD0D2C">
            <w:pPr>
              <w:rPr>
                <w:sz w:val="18"/>
                <w:szCs w:val="20"/>
              </w:rPr>
            </w:pPr>
            <w:r w:rsidRPr="000B71EF">
              <w:rPr>
                <w:sz w:val="18"/>
                <w:szCs w:val="20"/>
              </w:rPr>
              <w:t>City Centre North - Phase 4 (Guild Hall)</w:t>
            </w: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6</w:t>
            </w:r>
          </w:p>
        </w:tc>
        <w:tc>
          <w:tcPr>
            <w:tcW w:w="695" w:type="dxa"/>
            <w:shd w:val="clear" w:color="auto" w:fill="FFE599" w:themeFill="accent4" w:themeFillTint="66"/>
          </w:tcPr>
          <w:p w:rsidR="00BD0D2C" w:rsidRPr="000B71EF" w:rsidRDefault="00BD0D2C" w:rsidP="00BD0D2C">
            <w:pPr>
              <w:rPr>
                <w:sz w:val="18"/>
                <w:szCs w:val="20"/>
              </w:rPr>
            </w:pPr>
            <w:r w:rsidRPr="000B71EF">
              <w:rPr>
                <w:sz w:val="18"/>
                <w:szCs w:val="20"/>
              </w:rPr>
              <w:t>7,13</w:t>
            </w: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A planning application has been approv</w:t>
            </w:r>
            <w:r w:rsidR="00D5019F">
              <w:rPr>
                <w:rStyle w:val="Style3"/>
                <w:szCs w:val="22"/>
              </w:rPr>
              <w:t>ed and ongoing improvements are</w:t>
            </w:r>
            <w:r w:rsidRPr="000B71EF">
              <w:rPr>
                <w:rStyle w:val="Style3"/>
                <w:szCs w:val="22"/>
              </w:rPr>
              <w:t xml:space="preserve"> being made. </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 xml:space="preserve">A contractor has been appointed for a new leisure-based offer and work is expected to commence late Summer 2017.  </w:t>
            </w:r>
          </w:p>
          <w:p w:rsidR="00BD0D2C" w:rsidRPr="000B71EF" w:rsidRDefault="00BD0D2C" w:rsidP="00BD0D2C">
            <w:pPr>
              <w:rPr>
                <w:rStyle w:val="Style3"/>
                <w:szCs w:val="22"/>
              </w:rPr>
            </w:pPr>
            <w:r w:rsidRPr="000B71EF">
              <w:rPr>
                <w:rStyle w:val="Style3"/>
                <w:szCs w:val="22"/>
              </w:rPr>
              <w:t xml:space="preserve">A Harris Quarter Masterplan has been commissioned to support the investment and delivery of projects within the Quarter, and which includes the Guild Hall.  </w:t>
            </w:r>
          </w:p>
        </w:tc>
        <w:tc>
          <w:tcPr>
            <w:tcW w:w="372" w:type="dxa"/>
            <w:shd w:val="clear" w:color="auto" w:fill="FFE599" w:themeFill="accent4" w:themeFillTint="66"/>
          </w:tcPr>
          <w:p w:rsidR="00BD0D2C" w:rsidRPr="000B71EF" w:rsidRDefault="00BD0D2C" w:rsidP="00BD0D2C">
            <w:pPr>
              <w:rPr>
                <w:rStyle w:val="Style3"/>
                <w:sz w:val="18"/>
                <w:szCs w:val="20"/>
              </w:rPr>
            </w:pPr>
          </w:p>
        </w:tc>
      </w:tr>
      <w:tr w:rsidR="00BD0D2C" w:rsidRPr="000B71EF" w:rsidTr="00BD0D2C">
        <w:trPr>
          <w:trHeight w:val="920"/>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E21</w:t>
            </w:r>
          </w:p>
        </w:tc>
        <w:tc>
          <w:tcPr>
            <w:tcW w:w="1522" w:type="dxa"/>
          </w:tcPr>
          <w:p w:rsidR="00BD0D2C" w:rsidRPr="000B71EF" w:rsidRDefault="00BD0D2C" w:rsidP="00BD0D2C">
            <w:pPr>
              <w:rPr>
                <w:sz w:val="18"/>
                <w:szCs w:val="20"/>
              </w:rPr>
            </w:pPr>
            <w:r w:rsidRPr="000B71EF">
              <w:rPr>
                <w:sz w:val="18"/>
                <w:szCs w:val="20"/>
              </w:rPr>
              <w:t xml:space="preserve">UCLan – Phase 1 (Advanced Engineering Building) </w:t>
            </w:r>
          </w:p>
        </w:tc>
        <w:tc>
          <w:tcPr>
            <w:tcW w:w="696" w:type="dxa"/>
            <w:shd w:val="clear" w:color="auto" w:fill="FFE599" w:themeFill="accent4" w:themeFillTint="66"/>
          </w:tcPr>
          <w:p w:rsidR="00BD0D2C" w:rsidRPr="000B71EF" w:rsidRDefault="00BD0D2C" w:rsidP="00BD0D2C">
            <w:pPr>
              <w:rPr>
                <w:sz w:val="18"/>
                <w:szCs w:val="20"/>
              </w:rPr>
            </w:pPr>
            <w:r w:rsidRPr="000B71EF">
              <w:rPr>
                <w:sz w:val="18"/>
                <w:szCs w:val="20"/>
              </w:rPr>
              <w:t>3,13</w:t>
            </w:r>
          </w:p>
        </w:tc>
        <w:tc>
          <w:tcPr>
            <w:tcW w:w="695" w:type="dxa"/>
            <w:shd w:val="clear" w:color="auto" w:fill="FFFFFF" w:themeFill="background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Construction is to start in June 2017.</w:t>
            </w:r>
          </w:p>
          <w:p w:rsidR="00BD0D2C" w:rsidRPr="000B71EF" w:rsidRDefault="00BD0D2C" w:rsidP="00BD0D2C">
            <w:pPr>
              <w:rPr>
                <w:rStyle w:val="Style3"/>
                <w:szCs w:val="22"/>
              </w:rPr>
            </w:pPr>
          </w:p>
          <w:p w:rsidR="00BD0D2C" w:rsidRPr="000B71EF" w:rsidRDefault="00BD0D2C" w:rsidP="00BD0D2C">
            <w:pPr>
              <w:rPr>
                <w:rStyle w:val="Style3"/>
                <w:rFonts w:cs="Arial"/>
                <w:bCs/>
                <w:szCs w:val="22"/>
              </w:rPr>
            </w:pPr>
            <w:r w:rsidRPr="000B71EF">
              <w:rPr>
                <w:rFonts w:cs="Arial"/>
                <w:bCs/>
                <w:sz w:val="20"/>
                <w:szCs w:val="22"/>
              </w:rPr>
              <w:t>The delay on the project is due to cost pressures as a result of escalating UK construction sector costs, which led to the initial tender packages received from the Contractor in excess of the budget allowances. The University and the main contractor have been working through a Value Engineering pricing exercise to achieve the target cost.</w:t>
            </w:r>
          </w:p>
        </w:tc>
        <w:tc>
          <w:tcPr>
            <w:tcW w:w="372" w:type="dxa"/>
            <w:shd w:val="clear" w:color="auto" w:fill="FFE599" w:themeFill="accent4" w:themeFillTint="66"/>
          </w:tcPr>
          <w:p w:rsidR="00BD0D2C" w:rsidRPr="000B71EF" w:rsidRDefault="00BD0D2C" w:rsidP="00BD0D2C">
            <w:pPr>
              <w:rPr>
                <w:sz w:val="18"/>
                <w:szCs w:val="20"/>
              </w:rPr>
            </w:pPr>
          </w:p>
        </w:tc>
      </w:tr>
      <w:tr w:rsidR="00BD0D2C" w:rsidRPr="000B71EF" w:rsidTr="00BD0D2C">
        <w:trPr>
          <w:trHeight w:val="623"/>
        </w:trPr>
        <w:tc>
          <w:tcPr>
            <w:tcW w:w="433" w:type="dxa"/>
          </w:tcPr>
          <w:p w:rsidR="00BD0D2C" w:rsidRPr="000B71EF" w:rsidRDefault="00BD0D2C" w:rsidP="00BD0D2C">
            <w:pPr>
              <w:rPr>
                <w:sz w:val="18"/>
                <w:szCs w:val="20"/>
              </w:rPr>
            </w:pPr>
            <w:r w:rsidRPr="000B71EF">
              <w:rPr>
                <w:sz w:val="18"/>
                <w:szCs w:val="20"/>
              </w:rPr>
              <w:t>3</w:t>
            </w:r>
          </w:p>
        </w:tc>
        <w:tc>
          <w:tcPr>
            <w:tcW w:w="516" w:type="dxa"/>
          </w:tcPr>
          <w:p w:rsidR="00BD0D2C" w:rsidRPr="000B71EF" w:rsidRDefault="00BD0D2C" w:rsidP="00BD0D2C">
            <w:pPr>
              <w:rPr>
                <w:sz w:val="18"/>
                <w:szCs w:val="20"/>
              </w:rPr>
            </w:pPr>
            <w:r w:rsidRPr="000B71EF">
              <w:rPr>
                <w:sz w:val="18"/>
                <w:szCs w:val="20"/>
              </w:rPr>
              <w:t>E22</w:t>
            </w:r>
          </w:p>
        </w:tc>
        <w:tc>
          <w:tcPr>
            <w:tcW w:w="1522" w:type="dxa"/>
          </w:tcPr>
          <w:p w:rsidR="00BD0D2C" w:rsidRPr="008B2BDA" w:rsidRDefault="00BD0D2C" w:rsidP="00BD0D2C">
            <w:pPr>
              <w:rPr>
                <w:sz w:val="18"/>
                <w:szCs w:val="20"/>
              </w:rPr>
            </w:pPr>
            <w:r w:rsidRPr="000B71EF">
              <w:rPr>
                <w:sz w:val="18"/>
                <w:szCs w:val="20"/>
              </w:rPr>
              <w:t>UCLan – Phase 2 (Student Support Centre)</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FFFFFF" w:themeFill="background1"/>
          </w:tcPr>
          <w:p w:rsidR="00BD0D2C"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tc>
        <w:tc>
          <w:tcPr>
            <w:tcW w:w="6173" w:type="dxa"/>
            <w:shd w:val="clear" w:color="auto" w:fill="auto"/>
          </w:tcPr>
          <w:p w:rsidR="00BD0D2C" w:rsidRDefault="00BD0D2C" w:rsidP="00BD0D2C">
            <w:pPr>
              <w:rPr>
                <w:rStyle w:val="Style3"/>
                <w:szCs w:val="22"/>
              </w:rPr>
            </w:pPr>
            <w:r w:rsidRPr="000B71EF">
              <w:rPr>
                <w:rStyle w:val="Style3"/>
                <w:szCs w:val="22"/>
              </w:rPr>
              <w:t xml:space="preserve">No milestones this year, however the Student Support Centres have already started on site. </w:t>
            </w:r>
          </w:p>
          <w:p w:rsidR="00BD0D2C" w:rsidRPr="008B2BDA" w:rsidRDefault="00BD0D2C" w:rsidP="00BD0D2C">
            <w:pPr>
              <w:rPr>
                <w:sz w:val="20"/>
                <w:szCs w:val="22"/>
              </w:rPr>
            </w:pPr>
          </w:p>
        </w:tc>
        <w:tc>
          <w:tcPr>
            <w:tcW w:w="372" w:type="dxa"/>
          </w:tcPr>
          <w:p w:rsidR="00BD0D2C" w:rsidRPr="000B71EF" w:rsidRDefault="00BD0D2C" w:rsidP="00BD0D2C">
            <w:pPr>
              <w:rPr>
                <w:sz w:val="18"/>
                <w:szCs w:val="20"/>
              </w:rPr>
            </w:pPr>
          </w:p>
        </w:tc>
      </w:tr>
      <w:tr w:rsidR="00BD0D2C" w:rsidRPr="000B71EF" w:rsidTr="0026444D">
        <w:trPr>
          <w:trHeight w:val="2151"/>
        </w:trPr>
        <w:tc>
          <w:tcPr>
            <w:tcW w:w="433" w:type="dxa"/>
          </w:tcPr>
          <w:p w:rsidR="00BD0D2C" w:rsidRPr="000B71EF" w:rsidRDefault="00BD0D2C" w:rsidP="00BD0D2C">
            <w:pPr>
              <w:rPr>
                <w:sz w:val="18"/>
                <w:szCs w:val="20"/>
              </w:rPr>
            </w:pPr>
            <w:r w:rsidRPr="000B71EF">
              <w:rPr>
                <w:sz w:val="18"/>
                <w:szCs w:val="20"/>
              </w:rPr>
              <w:t>4</w:t>
            </w:r>
          </w:p>
        </w:tc>
        <w:tc>
          <w:tcPr>
            <w:tcW w:w="516" w:type="dxa"/>
          </w:tcPr>
          <w:p w:rsidR="00BD0D2C" w:rsidRPr="000B71EF" w:rsidRDefault="00BD0D2C" w:rsidP="00BD0D2C">
            <w:pPr>
              <w:rPr>
                <w:sz w:val="18"/>
                <w:szCs w:val="20"/>
              </w:rPr>
            </w:pPr>
            <w:r w:rsidRPr="000B71EF">
              <w:rPr>
                <w:sz w:val="18"/>
                <w:szCs w:val="20"/>
              </w:rPr>
              <w:t>E23</w:t>
            </w:r>
          </w:p>
        </w:tc>
        <w:tc>
          <w:tcPr>
            <w:tcW w:w="1522" w:type="dxa"/>
          </w:tcPr>
          <w:p w:rsidR="00BD0D2C" w:rsidRDefault="00BD0D2C" w:rsidP="00BD0D2C">
            <w:pPr>
              <w:rPr>
                <w:sz w:val="18"/>
                <w:szCs w:val="20"/>
              </w:rPr>
            </w:pPr>
            <w:r w:rsidRPr="000B71EF">
              <w:rPr>
                <w:sz w:val="18"/>
                <w:szCs w:val="20"/>
              </w:rPr>
              <w:t>Cop Lane, Penwortham</w:t>
            </w: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tc>
        <w:tc>
          <w:tcPr>
            <w:tcW w:w="696" w:type="dxa"/>
            <w:shd w:val="clear" w:color="auto" w:fill="FFE599" w:themeFill="accent4" w:themeFillTint="66"/>
          </w:tcPr>
          <w:p w:rsidR="00BD0D2C" w:rsidRPr="000B71EF" w:rsidRDefault="00BD0D2C" w:rsidP="00BD0D2C">
            <w:pPr>
              <w:rPr>
                <w:sz w:val="18"/>
                <w:szCs w:val="20"/>
              </w:rPr>
            </w:pPr>
            <w:r w:rsidRPr="000B71EF">
              <w:rPr>
                <w:sz w:val="18"/>
                <w:szCs w:val="20"/>
              </w:rPr>
              <w:t>1,2,3</w:t>
            </w:r>
          </w:p>
        </w:tc>
        <w:tc>
          <w:tcPr>
            <w:tcW w:w="695" w:type="dxa"/>
            <w:shd w:val="clear" w:color="auto" w:fill="FFE599" w:themeFill="accent4" w:themeFillTint="66"/>
          </w:tcPr>
          <w:p w:rsidR="00BD0D2C" w:rsidRDefault="00BD0D2C" w:rsidP="00BD0D2C">
            <w:pPr>
              <w:rPr>
                <w:sz w:val="18"/>
                <w:szCs w:val="20"/>
              </w:rPr>
            </w:pPr>
            <w:r w:rsidRPr="000B71EF">
              <w:rPr>
                <w:sz w:val="18"/>
                <w:szCs w:val="20"/>
              </w:rPr>
              <w:t>12</w:t>
            </w: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p w:rsidR="00BD0D2C" w:rsidRPr="008B2BDA"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Pre-application advice has been provided and the planning application was submitted in Q3 2016 and, following further consultations, will be determined in Q2 2017/18. </w:t>
            </w:r>
          </w:p>
          <w:p w:rsidR="00BD0D2C" w:rsidRPr="000B71EF" w:rsidRDefault="00BD0D2C" w:rsidP="00BD0D2C">
            <w:pPr>
              <w:rPr>
                <w:rStyle w:val="Style3"/>
                <w:szCs w:val="22"/>
              </w:rPr>
            </w:pPr>
          </w:p>
          <w:p w:rsidR="00BD0D2C" w:rsidRPr="000B71EF" w:rsidRDefault="00BD0D2C" w:rsidP="00BD0D2C">
            <w:pPr>
              <w:rPr>
                <w:rStyle w:val="Style3"/>
                <w:szCs w:val="22"/>
              </w:rPr>
            </w:pPr>
            <w:r w:rsidRPr="000B71EF">
              <w:rPr>
                <w:rStyle w:val="Style3"/>
                <w:szCs w:val="22"/>
              </w:rPr>
              <w:t>One of the pre-commencement conditions has already begun (ie. demolition of buildings on site).</w:t>
            </w:r>
          </w:p>
          <w:p w:rsidR="00BD0D2C" w:rsidRPr="000B71EF" w:rsidRDefault="00BD0D2C" w:rsidP="00BD0D2C">
            <w:pPr>
              <w:rPr>
                <w:rStyle w:val="Style3"/>
                <w:szCs w:val="22"/>
              </w:rPr>
            </w:pPr>
          </w:p>
          <w:p w:rsidR="00BD0D2C" w:rsidRPr="008B2BDA" w:rsidRDefault="00BD0D2C" w:rsidP="00BD0D2C">
            <w:pPr>
              <w:rPr>
                <w:sz w:val="20"/>
                <w:szCs w:val="22"/>
              </w:rPr>
            </w:pPr>
            <w:r w:rsidRPr="000B71EF">
              <w:rPr>
                <w:rStyle w:val="Style3"/>
                <w:szCs w:val="22"/>
              </w:rPr>
              <w:t>Commencement on site is expected Q2 2018/19 and completion within 12 months.</w:t>
            </w:r>
          </w:p>
        </w:tc>
        <w:tc>
          <w:tcPr>
            <w:tcW w:w="372" w:type="dxa"/>
            <w:shd w:val="clear" w:color="auto" w:fill="FFE599" w:themeFill="accent4" w:themeFillTint="66"/>
          </w:tcPr>
          <w:p w:rsidR="00BD0D2C" w:rsidRPr="000B71EF" w:rsidRDefault="00BD0D2C" w:rsidP="00BD0D2C">
            <w:pPr>
              <w:rPr>
                <w:sz w:val="18"/>
                <w:szCs w:val="20"/>
              </w:rPr>
            </w:pPr>
          </w:p>
        </w:tc>
      </w:tr>
      <w:tr w:rsidR="00BD0D2C" w:rsidRPr="000B71EF" w:rsidTr="00BD0D2C">
        <w:trPr>
          <w:trHeight w:val="920"/>
        </w:trPr>
        <w:tc>
          <w:tcPr>
            <w:tcW w:w="433" w:type="dxa"/>
          </w:tcPr>
          <w:p w:rsidR="00BD0D2C" w:rsidRPr="000B71EF" w:rsidRDefault="00BD0D2C" w:rsidP="00BD0D2C">
            <w:pPr>
              <w:rPr>
                <w:sz w:val="18"/>
                <w:szCs w:val="20"/>
              </w:rPr>
            </w:pPr>
            <w:r w:rsidRPr="000B71EF">
              <w:rPr>
                <w:sz w:val="18"/>
                <w:szCs w:val="20"/>
              </w:rPr>
              <w:t>4</w:t>
            </w:r>
          </w:p>
        </w:tc>
        <w:tc>
          <w:tcPr>
            <w:tcW w:w="516" w:type="dxa"/>
          </w:tcPr>
          <w:p w:rsidR="00BD0D2C" w:rsidRPr="000B71EF" w:rsidRDefault="00BD0D2C" w:rsidP="00BD0D2C">
            <w:pPr>
              <w:rPr>
                <w:sz w:val="18"/>
                <w:szCs w:val="20"/>
              </w:rPr>
            </w:pPr>
            <w:r w:rsidRPr="000B71EF">
              <w:rPr>
                <w:sz w:val="18"/>
                <w:szCs w:val="20"/>
              </w:rPr>
              <w:t>E24</w:t>
            </w:r>
          </w:p>
        </w:tc>
        <w:tc>
          <w:tcPr>
            <w:tcW w:w="1522" w:type="dxa"/>
          </w:tcPr>
          <w:p w:rsidR="00BD0D2C" w:rsidRPr="000B71EF" w:rsidRDefault="00BD0D2C" w:rsidP="00BD0D2C">
            <w:pPr>
              <w:rPr>
                <w:sz w:val="18"/>
                <w:szCs w:val="20"/>
              </w:rPr>
            </w:pPr>
            <w:r w:rsidRPr="000B71EF">
              <w:rPr>
                <w:sz w:val="18"/>
                <w:szCs w:val="20"/>
              </w:rPr>
              <w:t>Pickerings Farm – Phase 1 (HCA)</w:t>
            </w:r>
          </w:p>
        </w:tc>
        <w:tc>
          <w:tcPr>
            <w:tcW w:w="696" w:type="dxa"/>
          </w:tcPr>
          <w:p w:rsidR="00BD0D2C" w:rsidRPr="000B71EF" w:rsidRDefault="00BD0D2C" w:rsidP="00BD0D2C">
            <w:pPr>
              <w:rPr>
                <w:sz w:val="18"/>
                <w:szCs w:val="20"/>
              </w:rPr>
            </w:pPr>
          </w:p>
        </w:tc>
        <w:tc>
          <w:tcPr>
            <w:tcW w:w="695" w:type="dxa"/>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Work is currently being undertaken on technical studies and the formulation of a masterplan for the entire site. This will need to be consulted on and endorsed by SRBC. This will likely happen by Spring 17 and the outline application will follow approx. December 2017. </w:t>
            </w:r>
          </w:p>
        </w:tc>
        <w:tc>
          <w:tcPr>
            <w:tcW w:w="372" w:type="dxa"/>
            <w:shd w:val="clear" w:color="auto" w:fill="auto"/>
          </w:tcPr>
          <w:p w:rsidR="00BD0D2C" w:rsidRPr="000B71EF" w:rsidRDefault="00BD0D2C" w:rsidP="00BD0D2C">
            <w:pPr>
              <w:rPr>
                <w:sz w:val="18"/>
                <w:szCs w:val="20"/>
              </w:rPr>
            </w:pPr>
          </w:p>
        </w:tc>
      </w:tr>
      <w:tr w:rsidR="00BD0D2C" w:rsidRPr="000B71EF" w:rsidTr="00BD0D2C">
        <w:trPr>
          <w:trHeight w:val="412"/>
        </w:trPr>
        <w:tc>
          <w:tcPr>
            <w:tcW w:w="433" w:type="dxa"/>
          </w:tcPr>
          <w:p w:rsidR="00BD0D2C" w:rsidRPr="000B71EF" w:rsidRDefault="00BD0D2C" w:rsidP="00BD0D2C">
            <w:pPr>
              <w:rPr>
                <w:sz w:val="18"/>
                <w:szCs w:val="20"/>
              </w:rPr>
            </w:pPr>
            <w:r w:rsidRPr="000B71EF">
              <w:rPr>
                <w:sz w:val="18"/>
                <w:szCs w:val="20"/>
              </w:rPr>
              <w:t>4</w:t>
            </w:r>
          </w:p>
        </w:tc>
        <w:tc>
          <w:tcPr>
            <w:tcW w:w="516" w:type="dxa"/>
          </w:tcPr>
          <w:p w:rsidR="00BD0D2C" w:rsidRPr="000B71EF" w:rsidRDefault="00BD0D2C" w:rsidP="00BD0D2C">
            <w:pPr>
              <w:rPr>
                <w:sz w:val="18"/>
                <w:szCs w:val="20"/>
              </w:rPr>
            </w:pPr>
            <w:r w:rsidRPr="000B71EF">
              <w:rPr>
                <w:sz w:val="18"/>
                <w:szCs w:val="20"/>
              </w:rPr>
              <w:t>E25</w:t>
            </w:r>
          </w:p>
        </w:tc>
        <w:tc>
          <w:tcPr>
            <w:tcW w:w="1522" w:type="dxa"/>
          </w:tcPr>
          <w:p w:rsidR="00BD0D2C" w:rsidRPr="000B71EF" w:rsidRDefault="00BD0D2C" w:rsidP="00BD0D2C">
            <w:pPr>
              <w:rPr>
                <w:sz w:val="18"/>
                <w:szCs w:val="20"/>
              </w:rPr>
            </w:pPr>
            <w:r w:rsidRPr="000B71EF">
              <w:rPr>
                <w:sz w:val="18"/>
                <w:szCs w:val="20"/>
              </w:rPr>
              <w:t>Pickerings Farm – Ph 2 (TW)</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No milestones this year. </w:t>
            </w:r>
          </w:p>
        </w:tc>
        <w:tc>
          <w:tcPr>
            <w:tcW w:w="372" w:type="dxa"/>
          </w:tcPr>
          <w:p w:rsidR="00BD0D2C" w:rsidRPr="000B71EF" w:rsidRDefault="00BD0D2C" w:rsidP="00BD0D2C">
            <w:pPr>
              <w:rPr>
                <w:sz w:val="18"/>
                <w:szCs w:val="20"/>
              </w:rPr>
            </w:pPr>
          </w:p>
        </w:tc>
      </w:tr>
      <w:tr w:rsidR="00BD0D2C" w:rsidRPr="000B71EF" w:rsidTr="0026444D">
        <w:trPr>
          <w:trHeight w:val="406"/>
        </w:trPr>
        <w:tc>
          <w:tcPr>
            <w:tcW w:w="433" w:type="dxa"/>
          </w:tcPr>
          <w:p w:rsidR="00BD0D2C" w:rsidRPr="000B71EF" w:rsidRDefault="00BD0D2C" w:rsidP="00BD0D2C">
            <w:pPr>
              <w:rPr>
                <w:sz w:val="18"/>
                <w:szCs w:val="20"/>
              </w:rPr>
            </w:pPr>
            <w:r w:rsidRPr="000B71EF">
              <w:rPr>
                <w:sz w:val="18"/>
                <w:szCs w:val="20"/>
              </w:rPr>
              <w:t>5</w:t>
            </w:r>
          </w:p>
        </w:tc>
        <w:tc>
          <w:tcPr>
            <w:tcW w:w="516" w:type="dxa"/>
          </w:tcPr>
          <w:p w:rsidR="00BD0D2C" w:rsidRPr="000B71EF" w:rsidRDefault="00BD0D2C" w:rsidP="00BD0D2C">
            <w:pPr>
              <w:rPr>
                <w:sz w:val="18"/>
                <w:szCs w:val="20"/>
              </w:rPr>
            </w:pPr>
            <w:r w:rsidRPr="000B71EF">
              <w:rPr>
                <w:sz w:val="18"/>
                <w:szCs w:val="20"/>
              </w:rPr>
              <w:t>E26</w:t>
            </w:r>
          </w:p>
        </w:tc>
        <w:tc>
          <w:tcPr>
            <w:tcW w:w="1522" w:type="dxa"/>
          </w:tcPr>
          <w:p w:rsidR="00BD0D2C" w:rsidRPr="000B71EF" w:rsidRDefault="00BD0D2C" w:rsidP="00BD0D2C">
            <w:pPr>
              <w:rPr>
                <w:sz w:val="18"/>
                <w:szCs w:val="20"/>
              </w:rPr>
            </w:pPr>
            <w:r w:rsidRPr="000B71EF">
              <w:rPr>
                <w:sz w:val="18"/>
                <w:szCs w:val="20"/>
              </w:rPr>
              <w:t>Cuerden</w:t>
            </w: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1</w:t>
            </w:r>
          </w:p>
        </w:tc>
        <w:tc>
          <w:tcPr>
            <w:tcW w:w="695" w:type="dxa"/>
            <w:shd w:val="clear" w:color="auto" w:fill="FFE599" w:themeFill="accent4" w:themeFillTint="66"/>
          </w:tcPr>
          <w:p w:rsidR="00BD0D2C" w:rsidRPr="000B71EF" w:rsidRDefault="00BD0D2C" w:rsidP="00BD0D2C">
            <w:pPr>
              <w:rPr>
                <w:sz w:val="18"/>
                <w:szCs w:val="20"/>
              </w:rPr>
            </w:pPr>
            <w:r w:rsidRPr="000B71EF">
              <w:rPr>
                <w:sz w:val="18"/>
                <w:szCs w:val="20"/>
              </w:rPr>
              <w:t>6,7</w:t>
            </w:r>
          </w:p>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 xml:space="preserve">A planning application has been submitted and will be considered at the June 17 Planning Committee. </w:t>
            </w:r>
          </w:p>
        </w:tc>
        <w:tc>
          <w:tcPr>
            <w:tcW w:w="372" w:type="dxa"/>
            <w:shd w:val="clear" w:color="auto" w:fill="FFE599" w:themeFill="accent4" w:themeFillTint="66"/>
          </w:tcPr>
          <w:p w:rsidR="00BD0D2C" w:rsidRPr="000B71EF" w:rsidRDefault="00BD0D2C" w:rsidP="00BD0D2C">
            <w:pPr>
              <w:rPr>
                <w:sz w:val="18"/>
                <w:szCs w:val="20"/>
              </w:rPr>
            </w:pPr>
          </w:p>
        </w:tc>
      </w:tr>
      <w:tr w:rsidR="00BD0D2C" w:rsidRPr="000B71EF" w:rsidTr="00BD0D2C">
        <w:trPr>
          <w:trHeight w:val="412"/>
        </w:trPr>
        <w:tc>
          <w:tcPr>
            <w:tcW w:w="433" w:type="dxa"/>
          </w:tcPr>
          <w:p w:rsidR="00BD0D2C" w:rsidRPr="000B71EF" w:rsidRDefault="00BD0D2C" w:rsidP="00BD0D2C">
            <w:pPr>
              <w:rPr>
                <w:sz w:val="18"/>
                <w:szCs w:val="20"/>
              </w:rPr>
            </w:pPr>
            <w:r w:rsidRPr="000B71EF">
              <w:rPr>
                <w:sz w:val="18"/>
                <w:szCs w:val="20"/>
              </w:rPr>
              <w:lastRenderedPageBreak/>
              <w:t>5</w:t>
            </w:r>
          </w:p>
        </w:tc>
        <w:tc>
          <w:tcPr>
            <w:tcW w:w="516" w:type="dxa"/>
          </w:tcPr>
          <w:p w:rsidR="00BD0D2C" w:rsidRPr="000B71EF" w:rsidRDefault="00BD0D2C" w:rsidP="00BD0D2C">
            <w:pPr>
              <w:rPr>
                <w:sz w:val="18"/>
                <w:szCs w:val="20"/>
              </w:rPr>
            </w:pPr>
            <w:r w:rsidRPr="000B71EF">
              <w:rPr>
                <w:sz w:val="18"/>
                <w:szCs w:val="20"/>
              </w:rPr>
              <w:t>E27</w:t>
            </w:r>
          </w:p>
        </w:tc>
        <w:tc>
          <w:tcPr>
            <w:tcW w:w="1522" w:type="dxa"/>
          </w:tcPr>
          <w:p w:rsidR="00BD0D2C" w:rsidRPr="000B71EF" w:rsidRDefault="00BD0D2C" w:rsidP="00BD0D2C">
            <w:pPr>
              <w:rPr>
                <w:sz w:val="18"/>
                <w:szCs w:val="20"/>
              </w:rPr>
            </w:pPr>
            <w:r w:rsidRPr="000B71EF">
              <w:rPr>
                <w:sz w:val="18"/>
                <w:szCs w:val="20"/>
              </w:rPr>
              <w:t xml:space="preserve">Lancashire Business Park </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8B2BDA" w:rsidRDefault="00BD0D2C" w:rsidP="00BD0D2C">
            <w:pPr>
              <w:rPr>
                <w:sz w:val="20"/>
                <w:szCs w:val="22"/>
              </w:rPr>
            </w:pPr>
            <w:r w:rsidRPr="000B71EF">
              <w:rPr>
                <w:rStyle w:val="Style3"/>
                <w:szCs w:val="22"/>
              </w:rPr>
              <w:t xml:space="preserve">No milestones this year. </w:t>
            </w:r>
          </w:p>
        </w:tc>
        <w:tc>
          <w:tcPr>
            <w:tcW w:w="372" w:type="dxa"/>
          </w:tcPr>
          <w:p w:rsidR="00BD0D2C" w:rsidRPr="000B71EF" w:rsidRDefault="00BD0D2C" w:rsidP="00BD0D2C">
            <w:pPr>
              <w:rPr>
                <w:sz w:val="18"/>
                <w:szCs w:val="20"/>
              </w:rPr>
            </w:pPr>
          </w:p>
        </w:tc>
      </w:tr>
      <w:tr w:rsidR="00BD0D2C" w:rsidRPr="000B71EF" w:rsidTr="00BD0D2C">
        <w:trPr>
          <w:trHeight w:val="920"/>
        </w:trPr>
        <w:tc>
          <w:tcPr>
            <w:tcW w:w="433" w:type="dxa"/>
          </w:tcPr>
          <w:p w:rsidR="00BD0D2C" w:rsidRPr="000B71EF" w:rsidRDefault="00BD0D2C" w:rsidP="00BD0D2C">
            <w:pPr>
              <w:rPr>
                <w:sz w:val="18"/>
                <w:szCs w:val="20"/>
              </w:rPr>
            </w:pPr>
            <w:r w:rsidRPr="000B71EF">
              <w:rPr>
                <w:sz w:val="18"/>
                <w:szCs w:val="20"/>
              </w:rPr>
              <w:t>5</w:t>
            </w:r>
          </w:p>
        </w:tc>
        <w:tc>
          <w:tcPr>
            <w:tcW w:w="516" w:type="dxa"/>
          </w:tcPr>
          <w:p w:rsidR="00BD0D2C" w:rsidRPr="000B71EF" w:rsidRDefault="00BD0D2C" w:rsidP="00BD0D2C">
            <w:pPr>
              <w:rPr>
                <w:sz w:val="18"/>
                <w:szCs w:val="20"/>
              </w:rPr>
            </w:pPr>
            <w:r w:rsidRPr="000B71EF">
              <w:rPr>
                <w:sz w:val="18"/>
                <w:szCs w:val="20"/>
              </w:rPr>
              <w:t>E28</w:t>
            </w:r>
          </w:p>
        </w:tc>
        <w:tc>
          <w:tcPr>
            <w:tcW w:w="1522" w:type="dxa"/>
          </w:tcPr>
          <w:p w:rsidR="00BD0D2C" w:rsidRPr="000B71EF" w:rsidRDefault="00BD0D2C" w:rsidP="00BD0D2C">
            <w:pPr>
              <w:rPr>
                <w:sz w:val="18"/>
                <w:szCs w:val="20"/>
              </w:rPr>
            </w:pPr>
            <w:r w:rsidRPr="000B71EF">
              <w:rPr>
                <w:sz w:val="18"/>
                <w:szCs w:val="20"/>
              </w:rPr>
              <w:t>Moss Side Test Track</w:t>
            </w:r>
          </w:p>
        </w:tc>
        <w:tc>
          <w:tcPr>
            <w:tcW w:w="696" w:type="dxa"/>
            <w:tcBorders>
              <w:bottom w:val="thinThickSmallGap" w:sz="12" w:space="0" w:color="auto"/>
            </w:tcBorders>
            <w:shd w:val="clear" w:color="auto" w:fill="auto"/>
          </w:tcPr>
          <w:p w:rsidR="00BD0D2C" w:rsidRPr="000B71EF" w:rsidRDefault="00BD0D2C" w:rsidP="00BD0D2C">
            <w:pPr>
              <w:rPr>
                <w:sz w:val="18"/>
                <w:szCs w:val="20"/>
              </w:rPr>
            </w:pPr>
          </w:p>
        </w:tc>
        <w:tc>
          <w:tcPr>
            <w:tcW w:w="695" w:type="dxa"/>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Landowner discussions have begun regarding the development of a Masterplan. Pre-application discussions have yet to be begun.</w:t>
            </w:r>
          </w:p>
          <w:p w:rsidR="00BD0D2C" w:rsidRPr="000B71EF" w:rsidRDefault="00BD0D2C" w:rsidP="00BD0D2C">
            <w:pPr>
              <w:rPr>
                <w:rStyle w:val="Style3"/>
                <w:szCs w:val="22"/>
              </w:rPr>
            </w:pPr>
            <w:r w:rsidRPr="000B71EF">
              <w:rPr>
                <w:rStyle w:val="Style3"/>
                <w:szCs w:val="22"/>
              </w:rPr>
              <w:t>A planning application is expected Spring 2018 and commencement on site Spring 2019.</w:t>
            </w:r>
          </w:p>
        </w:tc>
        <w:tc>
          <w:tcPr>
            <w:tcW w:w="372" w:type="dxa"/>
            <w:shd w:val="clear" w:color="auto" w:fill="auto"/>
          </w:tcPr>
          <w:p w:rsidR="00BD0D2C" w:rsidRPr="000B71EF" w:rsidRDefault="00BD0D2C" w:rsidP="00BD0D2C">
            <w:pPr>
              <w:rPr>
                <w:sz w:val="18"/>
                <w:szCs w:val="20"/>
              </w:rPr>
            </w:pPr>
          </w:p>
        </w:tc>
      </w:tr>
      <w:tr w:rsidR="00BD0D2C" w:rsidRPr="000B71EF" w:rsidTr="00BD0D2C">
        <w:trPr>
          <w:trHeight w:val="660"/>
        </w:trPr>
        <w:tc>
          <w:tcPr>
            <w:tcW w:w="433" w:type="dxa"/>
          </w:tcPr>
          <w:p w:rsidR="00BD0D2C" w:rsidRPr="000B71EF" w:rsidRDefault="00BD0D2C" w:rsidP="00BD0D2C">
            <w:pPr>
              <w:rPr>
                <w:sz w:val="18"/>
                <w:szCs w:val="20"/>
              </w:rPr>
            </w:pPr>
            <w:r w:rsidRPr="000B71EF">
              <w:rPr>
                <w:sz w:val="18"/>
                <w:szCs w:val="20"/>
              </w:rPr>
              <w:t>6</w:t>
            </w:r>
          </w:p>
        </w:tc>
        <w:tc>
          <w:tcPr>
            <w:tcW w:w="516" w:type="dxa"/>
          </w:tcPr>
          <w:p w:rsidR="00BD0D2C" w:rsidRPr="000B71EF" w:rsidRDefault="00BD0D2C" w:rsidP="00BD0D2C">
            <w:pPr>
              <w:rPr>
                <w:sz w:val="18"/>
                <w:szCs w:val="20"/>
              </w:rPr>
            </w:pPr>
            <w:r w:rsidRPr="000B71EF">
              <w:rPr>
                <w:sz w:val="18"/>
                <w:szCs w:val="20"/>
              </w:rPr>
              <w:t>E29</w:t>
            </w:r>
          </w:p>
        </w:tc>
        <w:tc>
          <w:tcPr>
            <w:tcW w:w="1522" w:type="dxa"/>
          </w:tcPr>
          <w:p w:rsidR="00BD0D2C" w:rsidRPr="000B71EF" w:rsidRDefault="00BD0D2C" w:rsidP="00BD0D2C">
            <w:pPr>
              <w:rPr>
                <w:sz w:val="18"/>
                <w:szCs w:val="20"/>
              </w:rPr>
            </w:pPr>
            <w:r w:rsidRPr="000B71EF">
              <w:rPr>
                <w:sz w:val="18"/>
                <w:szCs w:val="20"/>
              </w:rPr>
              <w:t xml:space="preserve">South Rings – Phase 1 (Light Industrial Units) </w:t>
            </w:r>
          </w:p>
        </w:tc>
        <w:tc>
          <w:tcPr>
            <w:tcW w:w="696" w:type="dxa"/>
            <w:tcBorders>
              <w:bottom w:val="single" w:sz="4" w:space="0" w:color="auto"/>
            </w:tcBorders>
            <w:shd w:val="clear" w:color="auto" w:fill="C5E0B3" w:themeFill="accent6" w:themeFillTint="66"/>
          </w:tcPr>
          <w:p w:rsidR="00BD0D2C" w:rsidRPr="000B71EF" w:rsidRDefault="00BD0D2C" w:rsidP="00BD0D2C">
            <w:pPr>
              <w:rPr>
                <w:sz w:val="18"/>
                <w:szCs w:val="20"/>
              </w:rPr>
            </w:pPr>
            <w:r w:rsidRPr="000B71EF">
              <w:rPr>
                <w:sz w:val="18"/>
                <w:szCs w:val="20"/>
              </w:rPr>
              <w:t>15</w:t>
            </w:r>
          </w:p>
        </w:tc>
        <w:tc>
          <w:tcPr>
            <w:tcW w:w="695" w:type="dxa"/>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Phase 1 completed with multiple occupation of light industrial units.</w:t>
            </w:r>
          </w:p>
          <w:p w:rsidR="00BD0D2C" w:rsidRPr="000B71EF" w:rsidRDefault="00BD0D2C" w:rsidP="00BD0D2C">
            <w:pPr>
              <w:rPr>
                <w:rStyle w:val="Style3"/>
                <w:szCs w:val="22"/>
              </w:rPr>
            </w:pPr>
            <w:r w:rsidRPr="000B71EF">
              <w:rPr>
                <w:rStyle w:val="Style3"/>
                <w:szCs w:val="22"/>
              </w:rPr>
              <w:t xml:space="preserve">Nearby additional industrial units have also been completed with an adjacent gym also constructed. </w:t>
            </w:r>
          </w:p>
        </w:tc>
        <w:tc>
          <w:tcPr>
            <w:tcW w:w="372" w:type="dxa"/>
            <w:shd w:val="clear" w:color="auto" w:fill="C5E0B3" w:themeFill="accent6" w:themeFillTint="66"/>
          </w:tcPr>
          <w:p w:rsidR="00BD0D2C" w:rsidRPr="000B71EF" w:rsidRDefault="00BD0D2C" w:rsidP="00BD0D2C">
            <w:pPr>
              <w:rPr>
                <w:sz w:val="18"/>
                <w:szCs w:val="20"/>
              </w:rPr>
            </w:pPr>
          </w:p>
        </w:tc>
      </w:tr>
      <w:tr w:rsidR="00BD0D2C" w:rsidRPr="000B71EF" w:rsidTr="00BD0D2C">
        <w:trPr>
          <w:trHeight w:val="628"/>
        </w:trPr>
        <w:tc>
          <w:tcPr>
            <w:tcW w:w="433" w:type="dxa"/>
          </w:tcPr>
          <w:p w:rsidR="00BD0D2C" w:rsidRPr="000B71EF" w:rsidRDefault="00BD0D2C" w:rsidP="00BD0D2C">
            <w:pPr>
              <w:rPr>
                <w:sz w:val="18"/>
                <w:szCs w:val="20"/>
              </w:rPr>
            </w:pPr>
            <w:r w:rsidRPr="000B71EF">
              <w:rPr>
                <w:sz w:val="18"/>
                <w:szCs w:val="20"/>
              </w:rPr>
              <w:t>6</w:t>
            </w:r>
          </w:p>
        </w:tc>
        <w:tc>
          <w:tcPr>
            <w:tcW w:w="516" w:type="dxa"/>
          </w:tcPr>
          <w:p w:rsidR="00BD0D2C" w:rsidRPr="000B71EF" w:rsidRDefault="00BD0D2C" w:rsidP="00BD0D2C">
            <w:pPr>
              <w:rPr>
                <w:sz w:val="18"/>
                <w:szCs w:val="20"/>
              </w:rPr>
            </w:pPr>
            <w:r w:rsidRPr="000B71EF">
              <w:rPr>
                <w:sz w:val="18"/>
                <w:szCs w:val="20"/>
              </w:rPr>
              <w:t>E30</w:t>
            </w:r>
          </w:p>
        </w:tc>
        <w:tc>
          <w:tcPr>
            <w:tcW w:w="1522" w:type="dxa"/>
          </w:tcPr>
          <w:p w:rsidR="00BD0D2C" w:rsidRPr="008B2BDA" w:rsidRDefault="00BD0D2C" w:rsidP="00BD0D2C">
            <w:pPr>
              <w:rPr>
                <w:sz w:val="18"/>
                <w:szCs w:val="20"/>
              </w:rPr>
            </w:pPr>
            <w:r w:rsidRPr="000B71EF">
              <w:rPr>
                <w:sz w:val="18"/>
                <w:szCs w:val="20"/>
              </w:rPr>
              <w:t>South Rings – Ph 2 (Office Park Extension)</w:t>
            </w:r>
          </w:p>
        </w:tc>
        <w:tc>
          <w:tcPr>
            <w:tcW w:w="696" w:type="dxa"/>
            <w:tcBorders>
              <w:top w:val="single" w:sz="4" w:space="0" w:color="auto"/>
            </w:tcBorders>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tc>
        <w:tc>
          <w:tcPr>
            <w:tcW w:w="372" w:type="dxa"/>
          </w:tcPr>
          <w:p w:rsidR="00BD0D2C" w:rsidRPr="000B71EF" w:rsidRDefault="00BD0D2C" w:rsidP="00BD0D2C">
            <w:pPr>
              <w:rPr>
                <w:sz w:val="18"/>
                <w:szCs w:val="20"/>
              </w:rPr>
            </w:pPr>
          </w:p>
        </w:tc>
      </w:tr>
      <w:tr w:rsidR="00BD0D2C" w:rsidRPr="000B71EF" w:rsidTr="0026444D">
        <w:trPr>
          <w:trHeight w:val="637"/>
        </w:trPr>
        <w:tc>
          <w:tcPr>
            <w:tcW w:w="433" w:type="dxa"/>
          </w:tcPr>
          <w:p w:rsidR="00BD0D2C" w:rsidRPr="000B71EF" w:rsidRDefault="00BD0D2C" w:rsidP="00BD0D2C">
            <w:pPr>
              <w:rPr>
                <w:sz w:val="18"/>
                <w:szCs w:val="20"/>
              </w:rPr>
            </w:pPr>
          </w:p>
        </w:tc>
        <w:tc>
          <w:tcPr>
            <w:tcW w:w="516" w:type="dxa"/>
          </w:tcPr>
          <w:p w:rsidR="00BD0D2C" w:rsidRPr="000B71EF" w:rsidRDefault="00BD0D2C" w:rsidP="00BD0D2C">
            <w:pPr>
              <w:rPr>
                <w:sz w:val="18"/>
                <w:szCs w:val="20"/>
              </w:rPr>
            </w:pPr>
            <w:r w:rsidRPr="000B71EF">
              <w:rPr>
                <w:sz w:val="18"/>
                <w:szCs w:val="20"/>
              </w:rPr>
              <w:t>E31</w:t>
            </w:r>
          </w:p>
        </w:tc>
        <w:tc>
          <w:tcPr>
            <w:tcW w:w="1522" w:type="dxa"/>
          </w:tcPr>
          <w:p w:rsidR="00BD0D2C" w:rsidRPr="008B2BDA" w:rsidRDefault="00BD0D2C" w:rsidP="00BD0D2C">
            <w:pPr>
              <w:rPr>
                <w:sz w:val="18"/>
                <w:szCs w:val="20"/>
              </w:rPr>
            </w:pPr>
            <w:r w:rsidRPr="000B71EF">
              <w:rPr>
                <w:sz w:val="18"/>
                <w:szCs w:val="20"/>
              </w:rPr>
              <w:t>Samlesbury EZ – Ph</w:t>
            </w:r>
            <w:r>
              <w:rPr>
                <w:sz w:val="18"/>
                <w:szCs w:val="20"/>
              </w:rPr>
              <w:t xml:space="preserve"> 1 </w:t>
            </w:r>
            <w:r w:rsidRPr="000B71EF">
              <w:rPr>
                <w:sz w:val="18"/>
                <w:szCs w:val="20"/>
              </w:rPr>
              <w:t>Training Facility/Logistics</w:t>
            </w:r>
          </w:p>
        </w:tc>
        <w:tc>
          <w:tcPr>
            <w:tcW w:w="696" w:type="dxa"/>
            <w:shd w:val="clear" w:color="auto" w:fill="C5E0B3" w:themeFill="accent6" w:themeFillTint="66"/>
          </w:tcPr>
          <w:p w:rsidR="00BD0D2C" w:rsidRPr="000B71EF" w:rsidRDefault="00BD0D2C" w:rsidP="00BD0D2C">
            <w:pPr>
              <w:rPr>
                <w:sz w:val="18"/>
                <w:szCs w:val="20"/>
              </w:rPr>
            </w:pPr>
            <w:r w:rsidRPr="000B71EF">
              <w:rPr>
                <w:sz w:val="18"/>
                <w:szCs w:val="20"/>
              </w:rPr>
              <w:t>1,14</w:t>
            </w:r>
          </w:p>
        </w:tc>
        <w:tc>
          <w:tcPr>
            <w:tcW w:w="695" w:type="dxa"/>
            <w:shd w:val="clear" w:color="auto" w:fill="C5E0B3" w:themeFill="accent6" w:themeFillTint="66"/>
          </w:tcPr>
          <w:p w:rsidR="00BD0D2C" w:rsidRPr="000B71EF" w:rsidRDefault="00BD0D2C" w:rsidP="00BD0D2C">
            <w:pPr>
              <w:rPr>
                <w:sz w:val="18"/>
                <w:szCs w:val="20"/>
              </w:rPr>
            </w:pPr>
            <w:r w:rsidRPr="000B71EF">
              <w:rPr>
                <w:sz w:val="18"/>
                <w:szCs w:val="20"/>
              </w:rPr>
              <w:t>15</w:t>
            </w:r>
          </w:p>
          <w:p w:rsidR="00BD0D2C" w:rsidRPr="000B71EF" w:rsidRDefault="00BD0D2C" w:rsidP="00BD0D2C">
            <w:pPr>
              <w:rPr>
                <w:sz w:val="18"/>
                <w:szCs w:val="20"/>
              </w:rPr>
            </w:pPr>
          </w:p>
          <w:p w:rsidR="00BD0D2C" w:rsidRPr="000B71EF" w:rsidRDefault="00BD0D2C" w:rsidP="00BD0D2C">
            <w:pPr>
              <w:rPr>
                <w:sz w:val="18"/>
                <w:szCs w:val="20"/>
              </w:rPr>
            </w:pPr>
          </w:p>
        </w:tc>
        <w:tc>
          <w:tcPr>
            <w:tcW w:w="6173" w:type="dxa"/>
            <w:shd w:val="clear" w:color="auto" w:fill="auto"/>
          </w:tcPr>
          <w:p w:rsidR="00BD0D2C" w:rsidRPr="00B509EF" w:rsidRDefault="00BD0D2C" w:rsidP="00BD0D2C">
            <w:pPr>
              <w:rPr>
                <w:rStyle w:val="Style3"/>
                <w:b/>
                <w:szCs w:val="22"/>
              </w:rPr>
            </w:pPr>
            <w:r w:rsidRPr="00B509EF">
              <w:rPr>
                <w:rStyle w:val="Style3"/>
                <w:b/>
                <w:szCs w:val="22"/>
              </w:rPr>
              <w:t>Both properties completed and occupied.</w:t>
            </w:r>
          </w:p>
        </w:tc>
        <w:tc>
          <w:tcPr>
            <w:tcW w:w="372" w:type="dxa"/>
            <w:shd w:val="clear" w:color="auto" w:fill="C5E0B3" w:themeFill="accent6" w:themeFillTint="66"/>
          </w:tcPr>
          <w:p w:rsidR="00BD0D2C" w:rsidRPr="000B71EF" w:rsidRDefault="00BD0D2C" w:rsidP="00BD0D2C">
            <w:pPr>
              <w:rPr>
                <w:sz w:val="18"/>
                <w:szCs w:val="20"/>
              </w:rPr>
            </w:pPr>
          </w:p>
        </w:tc>
      </w:tr>
      <w:tr w:rsidR="00BD0D2C" w:rsidRPr="000B71EF" w:rsidTr="00BD0D2C">
        <w:trPr>
          <w:trHeight w:val="920"/>
        </w:trPr>
        <w:tc>
          <w:tcPr>
            <w:tcW w:w="433" w:type="dxa"/>
          </w:tcPr>
          <w:p w:rsidR="00BD0D2C" w:rsidRPr="000B71EF" w:rsidRDefault="00BD0D2C" w:rsidP="00BD0D2C">
            <w:pPr>
              <w:rPr>
                <w:sz w:val="18"/>
                <w:szCs w:val="20"/>
              </w:rPr>
            </w:pPr>
          </w:p>
        </w:tc>
        <w:tc>
          <w:tcPr>
            <w:tcW w:w="516" w:type="dxa"/>
          </w:tcPr>
          <w:p w:rsidR="00BD0D2C" w:rsidRPr="000B71EF" w:rsidRDefault="00BD0D2C" w:rsidP="00BD0D2C">
            <w:pPr>
              <w:rPr>
                <w:sz w:val="18"/>
                <w:szCs w:val="20"/>
              </w:rPr>
            </w:pPr>
            <w:r w:rsidRPr="000B71EF">
              <w:rPr>
                <w:sz w:val="18"/>
                <w:szCs w:val="20"/>
              </w:rPr>
              <w:t>E32</w:t>
            </w:r>
          </w:p>
        </w:tc>
        <w:tc>
          <w:tcPr>
            <w:tcW w:w="1522" w:type="dxa"/>
          </w:tcPr>
          <w:p w:rsidR="00BD0D2C" w:rsidRPr="000B71EF" w:rsidRDefault="00BD0D2C" w:rsidP="00BD0D2C">
            <w:pPr>
              <w:rPr>
                <w:sz w:val="18"/>
                <w:szCs w:val="20"/>
              </w:rPr>
            </w:pPr>
            <w:r w:rsidRPr="000B71EF">
              <w:rPr>
                <w:sz w:val="18"/>
                <w:szCs w:val="20"/>
              </w:rPr>
              <w:t>Samlesbury EZ – Ph 2 (Manufacturing Units)</w:t>
            </w:r>
          </w:p>
        </w:tc>
        <w:tc>
          <w:tcPr>
            <w:tcW w:w="696" w:type="dxa"/>
            <w:shd w:val="clear" w:color="auto" w:fill="000000" w:themeFill="text1"/>
          </w:tcPr>
          <w:p w:rsidR="00BD0D2C" w:rsidRPr="000B71EF" w:rsidRDefault="00BD0D2C" w:rsidP="00BD0D2C">
            <w:pPr>
              <w:rPr>
                <w:sz w:val="18"/>
                <w:szCs w:val="20"/>
              </w:rPr>
            </w:pPr>
          </w:p>
        </w:tc>
        <w:tc>
          <w:tcPr>
            <w:tcW w:w="695" w:type="dxa"/>
            <w:shd w:val="clear" w:color="auto" w:fill="000000" w:themeFill="text1"/>
          </w:tcPr>
          <w:p w:rsidR="00BD0D2C" w:rsidRPr="000B71EF" w:rsidRDefault="00BD0D2C" w:rsidP="00BD0D2C">
            <w:pPr>
              <w:rPr>
                <w:sz w:val="18"/>
                <w:szCs w:val="20"/>
              </w:rPr>
            </w:pPr>
          </w:p>
        </w:tc>
        <w:tc>
          <w:tcPr>
            <w:tcW w:w="6173" w:type="dxa"/>
            <w:shd w:val="clear" w:color="auto" w:fill="auto"/>
          </w:tcPr>
          <w:p w:rsidR="00BD0D2C" w:rsidRPr="000B71EF" w:rsidRDefault="00BD0D2C" w:rsidP="00BD0D2C">
            <w:pPr>
              <w:rPr>
                <w:rStyle w:val="Style3"/>
                <w:szCs w:val="22"/>
              </w:rPr>
            </w:pPr>
            <w:r w:rsidRPr="000B71EF">
              <w:rPr>
                <w:rStyle w:val="Style3"/>
                <w:szCs w:val="22"/>
              </w:rPr>
              <w:t>No milestones this year.</w:t>
            </w:r>
          </w:p>
        </w:tc>
        <w:tc>
          <w:tcPr>
            <w:tcW w:w="372" w:type="dxa"/>
          </w:tcPr>
          <w:p w:rsidR="00BD0D2C" w:rsidRPr="000B71EF" w:rsidRDefault="00BD0D2C" w:rsidP="00BD0D2C">
            <w:pPr>
              <w:rPr>
                <w:sz w:val="18"/>
                <w:szCs w:val="20"/>
              </w:rPr>
            </w:pPr>
          </w:p>
        </w:tc>
      </w:tr>
    </w:tbl>
    <w:p w:rsidR="007D2ABE" w:rsidRPr="000B71EF" w:rsidRDefault="007D2ABE">
      <w:pPr>
        <w:rPr>
          <w:sz w:val="18"/>
          <w:szCs w:val="20"/>
        </w:rPr>
      </w:pPr>
    </w:p>
    <w:p w:rsidR="007D2ABE" w:rsidRPr="000B71EF" w:rsidRDefault="007D2ABE">
      <w:pPr>
        <w:rPr>
          <w:sz w:val="18"/>
          <w:szCs w:val="20"/>
        </w:rPr>
      </w:pPr>
    </w:p>
    <w:sectPr w:rsidR="007D2ABE" w:rsidRPr="000B71EF" w:rsidSect="00F70DD0">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C6" w:rsidRDefault="00E432C6" w:rsidP="00D64002">
      <w:r>
        <w:separator/>
      </w:r>
    </w:p>
  </w:endnote>
  <w:endnote w:type="continuationSeparator" w:id="0">
    <w:p w:rsidR="00E432C6" w:rsidRDefault="00E432C6" w:rsidP="00D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82569"/>
      <w:docPartObj>
        <w:docPartGallery w:val="Page Numbers (Bottom of Page)"/>
        <w:docPartUnique/>
      </w:docPartObj>
    </w:sdtPr>
    <w:sdtEndPr>
      <w:rPr>
        <w:noProof/>
      </w:rPr>
    </w:sdtEndPr>
    <w:sdtContent>
      <w:p w:rsidR="00C11054" w:rsidRDefault="00C11054">
        <w:pPr>
          <w:pStyle w:val="Footer"/>
          <w:jc w:val="right"/>
        </w:pPr>
        <w:r>
          <w:fldChar w:fldCharType="begin"/>
        </w:r>
        <w:r>
          <w:instrText xml:space="preserve"> PAGE   \* MERGEFORMAT </w:instrText>
        </w:r>
        <w:r>
          <w:fldChar w:fldCharType="separate"/>
        </w:r>
        <w:r w:rsidR="00F927E9">
          <w:rPr>
            <w:noProof/>
          </w:rPr>
          <w:t>2</w:t>
        </w:r>
        <w:r>
          <w:rPr>
            <w:noProof/>
          </w:rPr>
          <w:fldChar w:fldCharType="end"/>
        </w:r>
      </w:p>
    </w:sdtContent>
  </w:sdt>
  <w:p w:rsidR="00D64002" w:rsidRPr="00297AC2" w:rsidRDefault="00D64002">
    <w:pPr>
      <w:pStyle w:val="Foo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C6" w:rsidRDefault="00E432C6" w:rsidP="00D64002">
      <w:r>
        <w:separator/>
      </w:r>
    </w:p>
  </w:footnote>
  <w:footnote w:type="continuationSeparator" w:id="0">
    <w:p w:rsidR="00E432C6" w:rsidRDefault="00E432C6" w:rsidP="00D6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02" w:rsidRPr="00C11054" w:rsidRDefault="00DB1A2A">
    <w:pPr>
      <w:pStyle w:val="Header"/>
      <w:rPr>
        <w:b/>
        <w:sz w:val="22"/>
        <w:szCs w:val="22"/>
      </w:rPr>
    </w:pPr>
    <w:r>
      <w:rPr>
        <w:b/>
        <w:sz w:val="22"/>
        <w:szCs w:val="22"/>
      </w:rPr>
      <w:t>Appendix 3 – City Deal Employment sites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25C8"/>
    <w:multiLevelType w:val="hybridMultilevel"/>
    <w:tmpl w:val="69766040"/>
    <w:lvl w:ilvl="0" w:tplc="35FA05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6D67"/>
    <w:multiLevelType w:val="hybridMultilevel"/>
    <w:tmpl w:val="D9B0C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D3310"/>
    <w:multiLevelType w:val="hybridMultilevel"/>
    <w:tmpl w:val="321E1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E4474"/>
    <w:multiLevelType w:val="hybridMultilevel"/>
    <w:tmpl w:val="112AE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15DBE"/>
    <w:multiLevelType w:val="hybridMultilevel"/>
    <w:tmpl w:val="DD522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C9"/>
    <w:rsid w:val="00006E4E"/>
    <w:rsid w:val="000103D6"/>
    <w:rsid w:val="0004648D"/>
    <w:rsid w:val="000645EF"/>
    <w:rsid w:val="00072D4A"/>
    <w:rsid w:val="0008789B"/>
    <w:rsid w:val="000A4A43"/>
    <w:rsid w:val="000B194B"/>
    <w:rsid w:val="000B578A"/>
    <w:rsid w:val="000B71EF"/>
    <w:rsid w:val="000C382A"/>
    <w:rsid w:val="000C4A42"/>
    <w:rsid w:val="00147105"/>
    <w:rsid w:val="00176956"/>
    <w:rsid w:val="00180158"/>
    <w:rsid w:val="00187B8B"/>
    <w:rsid w:val="00197C11"/>
    <w:rsid w:val="001A016A"/>
    <w:rsid w:val="001A6CB7"/>
    <w:rsid w:val="001E0788"/>
    <w:rsid w:val="001E463D"/>
    <w:rsid w:val="001E7258"/>
    <w:rsid w:val="001F1185"/>
    <w:rsid w:val="0020596E"/>
    <w:rsid w:val="002110E9"/>
    <w:rsid w:val="0023309A"/>
    <w:rsid w:val="00241C74"/>
    <w:rsid w:val="0026444D"/>
    <w:rsid w:val="00276A73"/>
    <w:rsid w:val="00283EC1"/>
    <w:rsid w:val="00297AC2"/>
    <w:rsid w:val="002B753D"/>
    <w:rsid w:val="002E1C23"/>
    <w:rsid w:val="00304199"/>
    <w:rsid w:val="00305D72"/>
    <w:rsid w:val="00316E94"/>
    <w:rsid w:val="00323519"/>
    <w:rsid w:val="0034415E"/>
    <w:rsid w:val="00360F35"/>
    <w:rsid w:val="00362A9C"/>
    <w:rsid w:val="00376BBD"/>
    <w:rsid w:val="00386594"/>
    <w:rsid w:val="003B5D9A"/>
    <w:rsid w:val="003F556E"/>
    <w:rsid w:val="00413EEE"/>
    <w:rsid w:val="00432D97"/>
    <w:rsid w:val="00437C7B"/>
    <w:rsid w:val="004858C4"/>
    <w:rsid w:val="004C1992"/>
    <w:rsid w:val="004C2BC4"/>
    <w:rsid w:val="004F486D"/>
    <w:rsid w:val="0052333E"/>
    <w:rsid w:val="00546527"/>
    <w:rsid w:val="005B237E"/>
    <w:rsid w:val="005B3ED8"/>
    <w:rsid w:val="005D1B73"/>
    <w:rsid w:val="005D5CDF"/>
    <w:rsid w:val="00610CE9"/>
    <w:rsid w:val="00620D93"/>
    <w:rsid w:val="006233DA"/>
    <w:rsid w:val="00667B5B"/>
    <w:rsid w:val="00680652"/>
    <w:rsid w:val="00683FE5"/>
    <w:rsid w:val="00686985"/>
    <w:rsid w:val="0069204C"/>
    <w:rsid w:val="00695C97"/>
    <w:rsid w:val="006D2499"/>
    <w:rsid w:val="006D3FC2"/>
    <w:rsid w:val="006E2FA7"/>
    <w:rsid w:val="006E2FB2"/>
    <w:rsid w:val="006E4945"/>
    <w:rsid w:val="006E72D8"/>
    <w:rsid w:val="006F161B"/>
    <w:rsid w:val="00734190"/>
    <w:rsid w:val="00743DF6"/>
    <w:rsid w:val="007A01A4"/>
    <w:rsid w:val="007A5153"/>
    <w:rsid w:val="007C172E"/>
    <w:rsid w:val="007C262B"/>
    <w:rsid w:val="007D2ABE"/>
    <w:rsid w:val="007D7F43"/>
    <w:rsid w:val="00805784"/>
    <w:rsid w:val="00813323"/>
    <w:rsid w:val="0089342D"/>
    <w:rsid w:val="008938EE"/>
    <w:rsid w:val="008966C2"/>
    <w:rsid w:val="008B0755"/>
    <w:rsid w:val="008B2BDA"/>
    <w:rsid w:val="008F56F2"/>
    <w:rsid w:val="00925A37"/>
    <w:rsid w:val="009334B8"/>
    <w:rsid w:val="00965EC9"/>
    <w:rsid w:val="00975A46"/>
    <w:rsid w:val="00986F5B"/>
    <w:rsid w:val="009D07A5"/>
    <w:rsid w:val="009E49B9"/>
    <w:rsid w:val="00A04354"/>
    <w:rsid w:val="00A12C05"/>
    <w:rsid w:val="00A45E0B"/>
    <w:rsid w:val="00A62DE3"/>
    <w:rsid w:val="00AA0209"/>
    <w:rsid w:val="00AB090A"/>
    <w:rsid w:val="00AB5816"/>
    <w:rsid w:val="00AC230B"/>
    <w:rsid w:val="00B376A4"/>
    <w:rsid w:val="00B509EF"/>
    <w:rsid w:val="00B6089F"/>
    <w:rsid w:val="00B91ACE"/>
    <w:rsid w:val="00B94665"/>
    <w:rsid w:val="00BC2383"/>
    <w:rsid w:val="00BD0D2C"/>
    <w:rsid w:val="00BE5A0F"/>
    <w:rsid w:val="00C010C4"/>
    <w:rsid w:val="00C11054"/>
    <w:rsid w:val="00C12CCA"/>
    <w:rsid w:val="00C220B2"/>
    <w:rsid w:val="00C2409F"/>
    <w:rsid w:val="00C30608"/>
    <w:rsid w:val="00C6256F"/>
    <w:rsid w:val="00C90851"/>
    <w:rsid w:val="00C91D91"/>
    <w:rsid w:val="00C976EF"/>
    <w:rsid w:val="00C979A5"/>
    <w:rsid w:val="00CA17F9"/>
    <w:rsid w:val="00D0275E"/>
    <w:rsid w:val="00D06CFA"/>
    <w:rsid w:val="00D307A5"/>
    <w:rsid w:val="00D5019F"/>
    <w:rsid w:val="00D54206"/>
    <w:rsid w:val="00D545CD"/>
    <w:rsid w:val="00D64002"/>
    <w:rsid w:val="00D939FD"/>
    <w:rsid w:val="00DB1A2A"/>
    <w:rsid w:val="00E14A8E"/>
    <w:rsid w:val="00E432C6"/>
    <w:rsid w:val="00E51756"/>
    <w:rsid w:val="00E54B13"/>
    <w:rsid w:val="00E56777"/>
    <w:rsid w:val="00E61A77"/>
    <w:rsid w:val="00E72AE9"/>
    <w:rsid w:val="00E913D7"/>
    <w:rsid w:val="00EB1533"/>
    <w:rsid w:val="00F04E6A"/>
    <w:rsid w:val="00F337AA"/>
    <w:rsid w:val="00F42BD4"/>
    <w:rsid w:val="00F4747B"/>
    <w:rsid w:val="00F70DD0"/>
    <w:rsid w:val="00F90A44"/>
    <w:rsid w:val="00F927E9"/>
    <w:rsid w:val="00F934CB"/>
    <w:rsid w:val="00FA720F"/>
    <w:rsid w:val="00FB39AD"/>
    <w:rsid w:val="00FD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C49BDC-8356-41BE-9401-5B7C19EF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FC2"/>
    <w:pPr>
      <w:ind w:left="720"/>
      <w:contextualSpacing/>
    </w:pPr>
  </w:style>
  <w:style w:type="paragraph" w:styleId="Header">
    <w:name w:val="header"/>
    <w:basedOn w:val="Normal"/>
    <w:link w:val="HeaderChar"/>
    <w:rsid w:val="00D64002"/>
    <w:pPr>
      <w:tabs>
        <w:tab w:val="center" w:pos="4513"/>
        <w:tab w:val="right" w:pos="9026"/>
      </w:tabs>
    </w:pPr>
  </w:style>
  <w:style w:type="character" w:customStyle="1" w:styleId="HeaderChar">
    <w:name w:val="Header Char"/>
    <w:basedOn w:val="DefaultParagraphFont"/>
    <w:link w:val="Header"/>
    <w:rsid w:val="00D64002"/>
    <w:rPr>
      <w:rFonts w:ascii="Arial" w:hAnsi="Arial"/>
      <w:sz w:val="24"/>
      <w:szCs w:val="24"/>
    </w:rPr>
  </w:style>
  <w:style w:type="paragraph" w:styleId="Footer">
    <w:name w:val="footer"/>
    <w:basedOn w:val="Normal"/>
    <w:link w:val="FooterChar"/>
    <w:uiPriority w:val="99"/>
    <w:rsid w:val="00D64002"/>
    <w:pPr>
      <w:tabs>
        <w:tab w:val="center" w:pos="4513"/>
        <w:tab w:val="right" w:pos="9026"/>
      </w:tabs>
    </w:pPr>
  </w:style>
  <w:style w:type="character" w:customStyle="1" w:styleId="FooterChar">
    <w:name w:val="Footer Char"/>
    <w:basedOn w:val="DefaultParagraphFont"/>
    <w:link w:val="Footer"/>
    <w:uiPriority w:val="99"/>
    <w:rsid w:val="00D64002"/>
    <w:rPr>
      <w:rFonts w:ascii="Arial" w:hAnsi="Arial"/>
      <w:sz w:val="24"/>
      <w:szCs w:val="24"/>
    </w:rPr>
  </w:style>
  <w:style w:type="character" w:styleId="Hyperlink">
    <w:name w:val="Hyperlink"/>
    <w:basedOn w:val="DefaultParagraphFont"/>
    <w:rsid w:val="00297AC2"/>
    <w:rPr>
      <w:color w:val="0563C1" w:themeColor="hyperlink"/>
      <w:u w:val="single"/>
    </w:rPr>
  </w:style>
  <w:style w:type="character" w:styleId="PlaceholderText">
    <w:name w:val="Placeholder Text"/>
    <w:basedOn w:val="DefaultParagraphFont"/>
    <w:uiPriority w:val="99"/>
    <w:semiHidden/>
    <w:rsid w:val="00360F35"/>
    <w:rPr>
      <w:color w:val="808080"/>
    </w:rPr>
  </w:style>
  <w:style w:type="paragraph" w:styleId="BalloonText">
    <w:name w:val="Balloon Text"/>
    <w:basedOn w:val="Normal"/>
    <w:link w:val="BalloonTextChar"/>
    <w:rsid w:val="008938EE"/>
    <w:rPr>
      <w:rFonts w:ascii="Tahoma" w:hAnsi="Tahoma" w:cs="Tahoma"/>
      <w:sz w:val="16"/>
      <w:szCs w:val="16"/>
    </w:rPr>
  </w:style>
  <w:style w:type="character" w:customStyle="1" w:styleId="BalloonTextChar">
    <w:name w:val="Balloon Text Char"/>
    <w:basedOn w:val="DefaultParagraphFont"/>
    <w:link w:val="BalloonText"/>
    <w:rsid w:val="008938EE"/>
    <w:rPr>
      <w:rFonts w:ascii="Tahoma" w:hAnsi="Tahoma" w:cs="Tahoma"/>
      <w:sz w:val="16"/>
      <w:szCs w:val="16"/>
    </w:rPr>
  </w:style>
  <w:style w:type="character" w:customStyle="1" w:styleId="GREEN">
    <w:name w:val="GREEN"/>
    <w:basedOn w:val="DefaultParagraphFont"/>
    <w:uiPriority w:val="1"/>
    <w:rsid w:val="00683FE5"/>
    <w:rPr>
      <w:color w:val="70AD47" w:themeColor="accent6"/>
    </w:rPr>
  </w:style>
  <w:style w:type="character" w:customStyle="1" w:styleId="Style1">
    <w:name w:val="Style1"/>
    <w:basedOn w:val="DefaultParagraphFont"/>
    <w:uiPriority w:val="1"/>
    <w:rsid w:val="00546527"/>
    <w:rPr>
      <w:rFonts w:ascii="Arial" w:hAnsi="Arial"/>
      <w:sz w:val="20"/>
    </w:rPr>
  </w:style>
  <w:style w:type="character" w:customStyle="1" w:styleId="Style2">
    <w:name w:val="Style2"/>
    <w:basedOn w:val="DefaultParagraphFont"/>
    <w:uiPriority w:val="1"/>
    <w:rsid w:val="00E51756"/>
    <w:rPr>
      <w:rFonts w:ascii="Arial" w:hAnsi="Arial"/>
      <w:sz w:val="22"/>
    </w:rPr>
  </w:style>
  <w:style w:type="character" w:customStyle="1" w:styleId="Style3">
    <w:name w:val="Style3"/>
    <w:basedOn w:val="DefaultParagraphFont"/>
    <w:uiPriority w:val="1"/>
    <w:rsid w:val="00E51756"/>
    <w:rPr>
      <w:rFonts w:ascii="Arial" w:hAnsi="Arial"/>
      <w:sz w:val="20"/>
    </w:rPr>
  </w:style>
  <w:style w:type="character" w:customStyle="1" w:styleId="Style4">
    <w:name w:val="Style4"/>
    <w:basedOn w:val="DefaultParagraphFont"/>
    <w:uiPriority w:val="1"/>
    <w:rsid w:val="00E51756"/>
    <w:rPr>
      <w:rFonts w:ascii="Arial" w:hAnsi="Arial"/>
      <w:sz w:val="20"/>
    </w:rPr>
  </w:style>
  <w:style w:type="character" w:customStyle="1" w:styleId="Style5">
    <w:name w:val="Style5"/>
    <w:basedOn w:val="DefaultParagraphFont"/>
    <w:uiPriority w:val="1"/>
    <w:rsid w:val="00072D4A"/>
    <w:rPr>
      <w:rFonts w:ascii="Arial" w:hAnsi="Arial"/>
      <w:sz w:val="22"/>
    </w:rPr>
  </w:style>
  <w:style w:type="paragraph" w:styleId="NoSpacing">
    <w:name w:val="No Spacing"/>
    <w:uiPriority w:val="1"/>
    <w:qFormat/>
    <w:rsid w:val="00610CE9"/>
    <w:rPr>
      <w:rFonts w:ascii="Arial" w:hAnsi="Arial"/>
      <w:sz w:val="24"/>
      <w:szCs w:val="24"/>
    </w:rPr>
  </w:style>
  <w:style w:type="character" w:styleId="CommentReference">
    <w:name w:val="annotation reference"/>
    <w:basedOn w:val="DefaultParagraphFont"/>
    <w:semiHidden/>
    <w:unhideWhenUsed/>
    <w:rsid w:val="00362A9C"/>
    <w:rPr>
      <w:sz w:val="16"/>
      <w:szCs w:val="16"/>
    </w:rPr>
  </w:style>
  <w:style w:type="paragraph" w:styleId="CommentText">
    <w:name w:val="annotation text"/>
    <w:basedOn w:val="Normal"/>
    <w:link w:val="CommentTextChar"/>
    <w:semiHidden/>
    <w:unhideWhenUsed/>
    <w:rsid w:val="00362A9C"/>
    <w:rPr>
      <w:sz w:val="20"/>
      <w:szCs w:val="20"/>
    </w:rPr>
  </w:style>
  <w:style w:type="character" w:customStyle="1" w:styleId="CommentTextChar">
    <w:name w:val="Comment Text Char"/>
    <w:basedOn w:val="DefaultParagraphFont"/>
    <w:link w:val="CommentText"/>
    <w:semiHidden/>
    <w:rsid w:val="00362A9C"/>
    <w:rPr>
      <w:rFonts w:ascii="Arial" w:hAnsi="Arial"/>
    </w:rPr>
  </w:style>
  <w:style w:type="paragraph" w:styleId="CommentSubject">
    <w:name w:val="annotation subject"/>
    <w:basedOn w:val="CommentText"/>
    <w:next w:val="CommentText"/>
    <w:link w:val="CommentSubjectChar"/>
    <w:semiHidden/>
    <w:unhideWhenUsed/>
    <w:rsid w:val="00362A9C"/>
    <w:rPr>
      <w:b/>
      <w:bCs/>
    </w:rPr>
  </w:style>
  <w:style w:type="character" w:customStyle="1" w:styleId="CommentSubjectChar">
    <w:name w:val="Comment Subject Char"/>
    <w:basedOn w:val="CommentTextChar"/>
    <w:link w:val="CommentSubject"/>
    <w:semiHidden/>
    <w:rsid w:val="00362A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5202">
      <w:bodyDiv w:val="1"/>
      <w:marLeft w:val="0"/>
      <w:marRight w:val="0"/>
      <w:marTop w:val="0"/>
      <w:marBottom w:val="0"/>
      <w:divBdr>
        <w:top w:val="none" w:sz="0" w:space="0" w:color="auto"/>
        <w:left w:val="none" w:sz="0" w:space="0" w:color="auto"/>
        <w:bottom w:val="none" w:sz="0" w:space="0" w:color="auto"/>
        <w:right w:val="none" w:sz="0" w:space="0" w:color="auto"/>
      </w:divBdr>
    </w:div>
    <w:div w:id="999700031">
      <w:bodyDiv w:val="1"/>
      <w:marLeft w:val="0"/>
      <w:marRight w:val="0"/>
      <w:marTop w:val="0"/>
      <w:marBottom w:val="0"/>
      <w:divBdr>
        <w:top w:val="none" w:sz="0" w:space="0" w:color="auto"/>
        <w:left w:val="none" w:sz="0" w:space="0" w:color="auto"/>
        <w:bottom w:val="none" w:sz="0" w:space="0" w:color="auto"/>
        <w:right w:val="none" w:sz="0" w:space="0" w:color="auto"/>
      </w:divBdr>
    </w:div>
    <w:div w:id="1069966027">
      <w:bodyDiv w:val="1"/>
      <w:marLeft w:val="0"/>
      <w:marRight w:val="0"/>
      <w:marTop w:val="0"/>
      <w:marBottom w:val="0"/>
      <w:divBdr>
        <w:top w:val="none" w:sz="0" w:space="0" w:color="auto"/>
        <w:left w:val="none" w:sz="0" w:space="0" w:color="auto"/>
        <w:bottom w:val="none" w:sz="0" w:space="0" w:color="auto"/>
        <w:right w:val="none" w:sz="0" w:space="0" w:color="auto"/>
      </w:divBdr>
    </w:div>
    <w:div w:id="1303929572">
      <w:bodyDiv w:val="1"/>
      <w:marLeft w:val="0"/>
      <w:marRight w:val="0"/>
      <w:marTop w:val="0"/>
      <w:marBottom w:val="0"/>
      <w:divBdr>
        <w:top w:val="none" w:sz="0" w:space="0" w:color="auto"/>
        <w:left w:val="none" w:sz="0" w:space="0" w:color="auto"/>
        <w:bottom w:val="none" w:sz="0" w:space="0" w:color="auto"/>
        <w:right w:val="none" w:sz="0" w:space="0" w:color="auto"/>
      </w:divBdr>
    </w:div>
    <w:div w:id="1521970981">
      <w:bodyDiv w:val="1"/>
      <w:marLeft w:val="0"/>
      <w:marRight w:val="0"/>
      <w:marTop w:val="0"/>
      <w:marBottom w:val="0"/>
      <w:divBdr>
        <w:top w:val="none" w:sz="0" w:space="0" w:color="auto"/>
        <w:left w:val="none" w:sz="0" w:space="0" w:color="auto"/>
        <w:bottom w:val="none" w:sz="0" w:space="0" w:color="auto"/>
        <w:right w:val="none" w:sz="0" w:space="0" w:color="auto"/>
      </w:divBdr>
    </w:div>
    <w:div w:id="1748921599">
      <w:bodyDiv w:val="1"/>
      <w:marLeft w:val="0"/>
      <w:marRight w:val="0"/>
      <w:marTop w:val="0"/>
      <w:marBottom w:val="0"/>
      <w:divBdr>
        <w:top w:val="none" w:sz="0" w:space="0" w:color="auto"/>
        <w:left w:val="none" w:sz="0" w:space="0" w:color="auto"/>
        <w:bottom w:val="none" w:sz="0" w:space="0" w:color="auto"/>
        <w:right w:val="none" w:sz="0" w:space="0" w:color="auto"/>
      </w:divBdr>
    </w:div>
    <w:div w:id="1860698887">
      <w:bodyDiv w:val="1"/>
      <w:marLeft w:val="0"/>
      <w:marRight w:val="0"/>
      <w:marTop w:val="0"/>
      <w:marBottom w:val="0"/>
      <w:divBdr>
        <w:top w:val="none" w:sz="0" w:space="0" w:color="auto"/>
        <w:left w:val="none" w:sz="0" w:space="0" w:color="auto"/>
        <w:bottom w:val="none" w:sz="0" w:space="0" w:color="auto"/>
        <w:right w:val="none" w:sz="0" w:space="0" w:color="auto"/>
      </w:divBdr>
    </w:div>
    <w:div w:id="20473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3608-AFCF-4FD3-8FDE-7C2B9337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7254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Joanne</dc:creator>
  <cp:keywords/>
  <dc:description/>
  <cp:lastModifiedBy>Hudson, Joanne</cp:lastModifiedBy>
  <cp:revision>2</cp:revision>
  <cp:lastPrinted>2017-05-17T11:25:00Z</cp:lastPrinted>
  <dcterms:created xsi:type="dcterms:W3CDTF">2017-06-12T15:18:00Z</dcterms:created>
  <dcterms:modified xsi:type="dcterms:W3CDTF">2017-06-12T15:18:00Z</dcterms:modified>
</cp:coreProperties>
</file>